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EF8" w:rsidRDefault="00B77EF8" w:rsidP="00B77EF8">
      <w:pPr>
        <w:spacing w:after="0" w:line="240" w:lineRule="auto"/>
        <w:jc w:val="right"/>
        <w:rPr>
          <w:rFonts w:ascii="Helvetica" w:hAnsi="Helvetica"/>
          <w:color w:val="333333"/>
          <w:sz w:val="20"/>
          <w:szCs w:val="20"/>
        </w:rPr>
      </w:pPr>
      <w:r>
        <w:rPr>
          <w:rFonts w:ascii="Helvetica" w:hAnsi="Helvetica"/>
          <w:color w:val="333333"/>
          <w:sz w:val="20"/>
          <w:szCs w:val="20"/>
        </w:rPr>
        <w:t>Tradus și revizuit de IER (</w:t>
      </w:r>
      <w:hyperlink r:id="rId4" w:history="1">
        <w:r w:rsidRPr="00E70868">
          <w:rPr>
            <w:rStyle w:val="Hyperlink"/>
            <w:rFonts w:ascii="Helvetica" w:hAnsi="Helvetica"/>
            <w:sz w:val="20"/>
            <w:szCs w:val="20"/>
          </w:rPr>
          <w:t>www.ier.ro</w:t>
        </w:r>
      </w:hyperlink>
      <w:r>
        <w:rPr>
          <w:rFonts w:ascii="Helvetica" w:hAnsi="Helvetica"/>
          <w:color w:val="333333"/>
          <w:sz w:val="20"/>
          <w:szCs w:val="20"/>
        </w:rPr>
        <w:t>)</w:t>
      </w:r>
    </w:p>
    <w:p w:rsidR="00B77EF8" w:rsidRDefault="00B77EF8" w:rsidP="00B77EF8">
      <w:pPr>
        <w:spacing w:after="0" w:line="240" w:lineRule="auto"/>
        <w:jc w:val="right"/>
        <w:rPr>
          <w:rFonts w:ascii="Helvetica" w:hAnsi="Helvetica"/>
          <w:color w:val="333333"/>
          <w:sz w:val="20"/>
          <w:szCs w:val="20"/>
        </w:rPr>
      </w:pPr>
    </w:p>
    <w:p w:rsidR="000504D2" w:rsidRPr="000504D2" w:rsidRDefault="000504D2" w:rsidP="000504D2">
      <w:pPr>
        <w:spacing w:after="0" w:line="240" w:lineRule="auto"/>
        <w:rPr>
          <w:rFonts w:ascii="Helvetica" w:eastAsia="Times New Roman" w:hAnsi="Helvetica" w:cs="Helvetica"/>
          <w:color w:val="333333"/>
          <w:sz w:val="20"/>
          <w:szCs w:val="20"/>
        </w:rPr>
      </w:pPr>
      <w:r>
        <w:rPr>
          <w:rFonts w:ascii="Helvetica" w:hAnsi="Helvetica"/>
          <w:color w:val="333333"/>
          <w:sz w:val="20"/>
          <w:szCs w:val="20"/>
        </w:rPr>
        <w:t>CM-Public</w:t>
      </w:r>
    </w:p>
    <w:tbl>
      <w:tblPr>
        <w:tblpPr w:vertAnchor="text"/>
        <w:tblW w:w="5000" w:type="pct"/>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2340"/>
        <w:gridCol w:w="2340"/>
        <w:gridCol w:w="2340"/>
        <w:gridCol w:w="2340"/>
      </w:tblGrid>
      <w:tr w:rsidR="000504D2" w:rsidRPr="000504D2" w:rsidTr="000504D2">
        <w:trPr>
          <w:trHeight w:val="737"/>
        </w:trPr>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Arial Narrow" w:hAnsi="Arial Narrow"/>
                <w:b/>
                <w:bCs/>
                <w:color w:val="333333"/>
                <w:sz w:val="24"/>
                <w:szCs w:val="24"/>
              </w:rPr>
              <w:t>DELEGAȚII MINIȘTRILOR</w:t>
            </w:r>
          </w:p>
        </w:tc>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0504D2" w:rsidRPr="000504D2" w:rsidRDefault="000504D2" w:rsidP="000504D2">
            <w:pPr>
              <w:spacing w:before="100" w:beforeAutospacing="1" w:after="100" w:afterAutospacing="1" w:line="240" w:lineRule="auto"/>
              <w:ind w:left="-108"/>
              <w:jc w:val="center"/>
              <w:rPr>
                <w:rFonts w:ascii="Times New Roman" w:eastAsia="Times New Roman" w:hAnsi="Times New Roman" w:cs="Times New Roman"/>
                <w:color w:val="333333"/>
                <w:sz w:val="24"/>
                <w:szCs w:val="24"/>
              </w:rPr>
            </w:pPr>
            <w:r>
              <w:rPr>
                <w:rFonts w:ascii="Arial Narrow" w:hAnsi="Arial Narrow"/>
                <w:color w:val="333333"/>
                <w:sz w:val="24"/>
                <w:szCs w:val="24"/>
              </w:rPr>
              <w:t>Rezoluții</w:t>
            </w:r>
          </w:p>
        </w:tc>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0504D2" w:rsidRPr="000504D2" w:rsidRDefault="000504D2" w:rsidP="000504D2">
            <w:pPr>
              <w:spacing w:before="100" w:beforeAutospacing="1" w:after="100" w:afterAutospacing="1" w:line="240" w:lineRule="auto"/>
              <w:ind w:left="-40"/>
              <w:jc w:val="center"/>
              <w:rPr>
                <w:rFonts w:ascii="Times New Roman" w:eastAsia="Times New Roman" w:hAnsi="Times New Roman" w:cs="Times New Roman"/>
                <w:color w:val="333333"/>
                <w:sz w:val="24"/>
                <w:szCs w:val="24"/>
              </w:rPr>
            </w:pPr>
            <w:r>
              <w:rPr>
                <w:rFonts w:ascii="Arial Narrow" w:hAnsi="Arial Narrow"/>
                <w:b/>
                <w:bCs/>
                <w:color w:val="333333"/>
                <w:sz w:val="24"/>
                <w:szCs w:val="24"/>
              </w:rPr>
              <w:t>CM/ResDH(2017)291</w:t>
            </w:r>
          </w:p>
        </w:tc>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0504D2" w:rsidRPr="000504D2" w:rsidRDefault="000504D2" w:rsidP="000504D2">
            <w:pPr>
              <w:spacing w:before="100" w:beforeAutospacing="1" w:after="100" w:afterAutospacing="1" w:line="240" w:lineRule="auto"/>
              <w:jc w:val="right"/>
              <w:rPr>
                <w:rFonts w:ascii="Times New Roman" w:eastAsia="Times New Roman" w:hAnsi="Times New Roman" w:cs="Times New Roman"/>
                <w:color w:val="333333"/>
                <w:sz w:val="24"/>
                <w:szCs w:val="24"/>
              </w:rPr>
            </w:pPr>
            <w:r>
              <w:rPr>
                <w:rFonts w:ascii="Arial Narrow" w:hAnsi="Arial Narrow"/>
                <w:color w:val="333333"/>
                <w:sz w:val="16"/>
                <w:szCs w:val="16"/>
              </w:rPr>
              <w:t>21 septembrie 2017</w:t>
            </w:r>
          </w:p>
        </w:tc>
      </w:tr>
    </w:tbl>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288"/>
      </w:tblGrid>
      <w:tr w:rsidR="000504D2" w:rsidRPr="000504D2" w:rsidTr="000504D2">
        <w:trPr>
          <w:tblCellSpacing w:w="0" w:type="dxa"/>
        </w:trPr>
        <w:tc>
          <w:tcPr>
            <w:tcW w:w="0" w:type="auto"/>
            <w:shd w:val="clear" w:color="auto" w:fill="auto"/>
            <w:tcMar>
              <w:top w:w="0" w:type="dxa"/>
              <w:left w:w="141" w:type="dxa"/>
              <w:bottom w:w="0" w:type="dxa"/>
              <w:right w:w="141" w:type="dxa"/>
            </w:tcMar>
            <w:hideMark/>
          </w:tcPr>
          <w:p w:rsidR="000504D2" w:rsidRPr="000504D2" w:rsidRDefault="000504D2" w:rsidP="000504D2">
            <w:pPr>
              <w:spacing w:after="0" w:line="240" w:lineRule="auto"/>
              <w:rPr>
                <w:rFonts w:ascii="Helvetica" w:eastAsia="Times New Roman" w:hAnsi="Helvetica" w:cs="Helvetica"/>
                <w:color w:val="333333"/>
                <w:sz w:val="20"/>
                <w:szCs w:val="20"/>
              </w:rPr>
            </w:pPr>
          </w:p>
        </w:tc>
      </w:tr>
    </w:tbl>
    <w:tbl>
      <w:tblPr>
        <w:tblW w:w="5000" w:type="pct"/>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9360"/>
      </w:tblGrid>
      <w:tr w:rsidR="000504D2" w:rsidRPr="000504D2" w:rsidTr="000504D2">
        <w:tc>
          <w:tcPr>
            <w:tcW w:w="9399" w:type="dxa"/>
            <w:tcBorders>
              <w:top w:val="nil"/>
              <w:left w:val="nil"/>
              <w:bottom w:val="single" w:sz="8" w:space="0" w:color="auto"/>
              <w:right w:val="nil"/>
            </w:tcBorders>
            <w:shd w:val="clear" w:color="auto" w:fill="auto"/>
            <w:tcMar>
              <w:top w:w="227" w:type="dxa"/>
              <w:left w:w="0" w:type="dxa"/>
              <w:bottom w:w="227" w:type="dxa"/>
              <w:right w:w="0" w:type="dxa"/>
            </w:tcMar>
            <w:vAlign w:val="cente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Arial Narrow" w:hAnsi="Arial Narrow"/>
                <w:b/>
                <w:bCs/>
                <w:color w:val="333333"/>
                <w:sz w:val="28"/>
                <w:szCs w:val="28"/>
              </w:rPr>
              <w:t>Rezoluție</w:t>
            </w:r>
            <w:r>
              <w:rPr>
                <w:rFonts w:ascii="Arial Narrow" w:hAnsi="Arial Narrow"/>
                <w:b/>
                <w:bCs/>
                <w:color w:val="333333"/>
                <w:sz w:val="28"/>
                <w:szCs w:val="28"/>
              </w:rPr>
              <w:br/>
              <w:t>Executarea hotărârilor Curții Europene a Drepturilor Omului</w:t>
            </w:r>
            <w:r>
              <w:rPr>
                <w:rFonts w:ascii="Arial Narrow" w:hAnsi="Arial Narrow"/>
                <w:b/>
                <w:bCs/>
                <w:color w:val="333333"/>
                <w:sz w:val="28"/>
                <w:szCs w:val="28"/>
              </w:rPr>
              <w:br/>
              <w:t>Patru cauze împotriva României</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Arial Narrow" w:hAnsi="Arial Narrow"/>
                <w:i/>
                <w:iCs/>
                <w:color w:val="333333"/>
              </w:rPr>
              <w:t>(adoptată de Comitetul de Miniștri la 21 septembrie 2017, în cadrul celei de-a 1294-a reuniuni a delegaților miniștrilor)</w:t>
            </w:r>
          </w:p>
        </w:tc>
      </w:tr>
    </w:tbl>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w:t>
      </w:r>
    </w:p>
    <w:tbl>
      <w:tblPr>
        <w:tblW w:w="9495" w:type="dxa"/>
        <w:tblInd w:w="108"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1714"/>
        <w:gridCol w:w="4236"/>
        <w:gridCol w:w="1842"/>
        <w:gridCol w:w="1703"/>
      </w:tblGrid>
      <w:tr w:rsidR="000504D2" w:rsidRPr="000504D2" w:rsidTr="000504D2">
        <w:tc>
          <w:tcPr>
            <w:tcW w:w="171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Cererea nr.</w:t>
            </w:r>
          </w:p>
        </w:tc>
        <w:tc>
          <w:tcPr>
            <w:tcW w:w="42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Cauza</w:t>
            </w:r>
          </w:p>
        </w:tc>
        <w:tc>
          <w:tcPr>
            <w:tcW w:w="18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Hotărârea din</w:t>
            </w:r>
          </w:p>
        </w:tc>
        <w:tc>
          <w:tcPr>
            <w:tcW w:w="17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Definitivă la data de</w:t>
            </w:r>
          </w:p>
        </w:tc>
      </w:tr>
      <w:tr w:rsidR="000504D2" w:rsidRPr="000504D2" w:rsidTr="000504D2">
        <w:tc>
          <w:tcPr>
            <w:tcW w:w="1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42344/07</w:t>
            </w:r>
          </w:p>
        </w:tc>
        <w:tc>
          <w:tcPr>
            <w:tcW w:w="42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PREDICĂ</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07/06/2011</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07/09/2011</w:t>
            </w:r>
          </w:p>
        </w:tc>
      </w:tr>
      <w:tr w:rsidR="000504D2" w:rsidRPr="000504D2" w:rsidTr="000504D2">
        <w:tc>
          <w:tcPr>
            <w:tcW w:w="1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22362/06</w:t>
            </w:r>
          </w:p>
        </w:tc>
        <w:tc>
          <w:tcPr>
            <w:tcW w:w="42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CUCU</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13/11/2012</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13/02/2013</w:t>
            </w:r>
          </w:p>
        </w:tc>
      </w:tr>
      <w:tr w:rsidR="000504D2" w:rsidRPr="000504D2" w:rsidTr="000504D2">
        <w:tc>
          <w:tcPr>
            <w:tcW w:w="1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16117/02</w:t>
            </w:r>
          </w:p>
        </w:tc>
        <w:tc>
          <w:tcPr>
            <w:tcW w:w="42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AUSTRIANU</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12/02/2013</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12/05/2013</w:t>
            </w:r>
          </w:p>
        </w:tc>
      </w:tr>
      <w:tr w:rsidR="000504D2" w:rsidRPr="000504D2" w:rsidTr="000504D2">
        <w:tc>
          <w:tcPr>
            <w:tcW w:w="171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2770/09</w:t>
            </w:r>
          </w:p>
        </w:tc>
        <w:tc>
          <w:tcPr>
            <w:tcW w:w="42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GHEORGHE DIMA</w:t>
            </w:r>
          </w:p>
        </w:tc>
        <w:tc>
          <w:tcPr>
            <w:tcW w:w="18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19/04/2016</w:t>
            </w:r>
          </w:p>
        </w:tc>
        <w:tc>
          <w:tcPr>
            <w:tcW w:w="170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19/07/2016</w:t>
            </w:r>
          </w:p>
        </w:tc>
      </w:tr>
    </w:tbl>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Comitetul de Miniștri, în temeiul art. 46 § 2 din Convenția pentru apărarea drepturilor omului și a libertăților fundamentale, care prevede că hotărârea definitivă pronunțată de Curtea Europeană a Drepturilor Omului (în continuare („Convenția” și „Curtea”) se transmite Comitetului care supraveghează executarea acesteia, </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Având în vedere hotărârile definitive transmise de Curte Comisiei în aceste cazuri și încălcările art. 2, 3 și 13 din Convenție constatate ca urmare a decesului sau a relelor tratamente produse sub responsabilitatea personalului penitenciar, ineficiența anchetelor penale și lipsa unui recurs efectiv în ceea ce privește astfel de abuzuri; având în vedere, de asemenea, încălcările art. 3, din Convenție și art. 3 din Protocolul nr. 1 constatate în cauza </w:t>
      </w:r>
      <w:r>
        <w:rPr>
          <w:rFonts w:ascii="Times New Roman" w:hAnsi="Times New Roman"/>
          <w:i/>
          <w:iCs/>
          <w:color w:val="333333"/>
          <w:sz w:val="24"/>
          <w:szCs w:val="24"/>
        </w:rPr>
        <w:t>Cucu</w:t>
      </w:r>
      <w:r>
        <w:rPr>
          <w:rFonts w:ascii="Times New Roman" w:hAnsi="Times New Roman"/>
          <w:color w:val="333333"/>
          <w:sz w:val="24"/>
          <w:szCs w:val="24"/>
        </w:rPr>
        <w:t xml:space="preserve">; </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Amintind obligația statului pârât, în temeiul art. 46 § 1 din Convenție, de a se conforma hotărârilor definitive pronunțate în cauzele în care sunt părți și că această obligație presupune ca, pe lângă plata despăgubirilor acordate de Curte, autoritățile statului pârât să adopte, unde este necesar:</w:t>
      </w:r>
    </w:p>
    <w:p w:rsidR="000504D2" w:rsidRPr="000504D2" w:rsidRDefault="000504D2" w:rsidP="000504D2">
      <w:pPr>
        <w:spacing w:before="100" w:beforeAutospacing="1" w:after="100" w:afterAutospacing="1" w:line="240" w:lineRule="auto"/>
        <w:ind w:left="495" w:hanging="360"/>
        <w:rPr>
          <w:rFonts w:ascii="Times New Roman" w:eastAsia="Times New Roman" w:hAnsi="Times New Roman" w:cs="Times New Roman"/>
          <w:color w:val="333333"/>
          <w:sz w:val="24"/>
          <w:szCs w:val="24"/>
        </w:rPr>
      </w:pPr>
      <w:r>
        <w:rPr>
          <w:rFonts w:ascii="Times New Roman" w:hAnsi="Times New Roman"/>
          <w:color w:val="333333"/>
          <w:sz w:val="24"/>
          <w:szCs w:val="24"/>
        </w:rPr>
        <w:t>-</w:t>
      </w:r>
      <w:r>
        <w:rPr>
          <w:rFonts w:ascii="Times New Roman" w:hAnsi="Times New Roman"/>
          <w:color w:val="333333"/>
          <w:sz w:val="14"/>
          <w:szCs w:val="14"/>
        </w:rPr>
        <w:t>      </w:t>
      </w:r>
      <w:r>
        <w:rPr>
          <w:rFonts w:ascii="Times New Roman" w:hAnsi="Times New Roman"/>
          <w:color w:val="333333"/>
          <w:sz w:val="24"/>
          <w:szCs w:val="24"/>
        </w:rPr>
        <w:t xml:space="preserve"> </w:t>
      </w:r>
      <w:r>
        <w:rPr>
          <w:rFonts w:ascii="Times New Roman" w:hAnsi="Times New Roman"/>
          <w:color w:val="333333"/>
        </w:rPr>
        <w:t xml:space="preserve">măsuri individuale pentru a pune capăt încălcărilor stabilite și să înlăture consecințele lor, în măsura în care este posibil, prin </w:t>
      </w:r>
      <w:r>
        <w:rPr>
          <w:rFonts w:ascii="Times New Roman" w:hAnsi="Times New Roman"/>
          <w:i/>
          <w:iCs/>
          <w:color w:val="333333"/>
        </w:rPr>
        <w:t xml:space="preserve">restitutio in integrum; </w:t>
      </w:r>
      <w:r>
        <w:rPr>
          <w:rFonts w:ascii="Times New Roman" w:hAnsi="Times New Roman"/>
          <w:color w:val="333333"/>
        </w:rPr>
        <w:t>și</w:t>
      </w:r>
    </w:p>
    <w:p w:rsidR="000504D2" w:rsidRPr="000504D2" w:rsidRDefault="000504D2" w:rsidP="000504D2">
      <w:pPr>
        <w:spacing w:before="100" w:beforeAutospacing="1" w:after="100" w:afterAutospacing="1" w:line="240" w:lineRule="auto"/>
        <w:ind w:left="495" w:hanging="360"/>
        <w:rPr>
          <w:rFonts w:ascii="Times New Roman" w:eastAsia="Times New Roman" w:hAnsi="Times New Roman" w:cs="Times New Roman"/>
          <w:color w:val="333333"/>
          <w:sz w:val="24"/>
          <w:szCs w:val="24"/>
        </w:rPr>
      </w:pPr>
      <w:r>
        <w:rPr>
          <w:rFonts w:ascii="Times New Roman" w:hAnsi="Times New Roman"/>
          <w:color w:val="333333"/>
          <w:sz w:val="24"/>
          <w:szCs w:val="24"/>
        </w:rPr>
        <w:t>-</w:t>
      </w:r>
      <w:r>
        <w:rPr>
          <w:rFonts w:ascii="Times New Roman" w:hAnsi="Times New Roman"/>
          <w:color w:val="333333"/>
          <w:sz w:val="14"/>
          <w:szCs w:val="14"/>
        </w:rPr>
        <w:t>      </w:t>
      </w:r>
      <w:r>
        <w:rPr>
          <w:rFonts w:ascii="Times New Roman" w:hAnsi="Times New Roman"/>
          <w:color w:val="333333"/>
        </w:rPr>
        <w:t xml:space="preserve"> măsuri generale care să prevină încălcări asemănătoare;</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lastRenderedPageBreak/>
        <w:t xml:space="preserve">În urma examinării raportului acțiunii transmis de Guvern care indică măsurile adoptate pentru a executa hotărârile, inclusiv informațiile referitoare la plata reparațiilor echitabile acordate de Curte (a se vedea documentul </w:t>
      </w:r>
      <w:hyperlink r:id="rId5" w:tooltip="A 1294-a reuniune (septembrie 2017) (DO) - Raportul acțiunii (28/06/2017) - Comunicarea României în cauza PREDICĂ împotriva României (Cererea nr. 42344/07) [disponibilă doar în limba engleză] " w:history="1">
        <w:r>
          <w:rPr>
            <w:rFonts w:ascii="Times New Roman" w:hAnsi="Times New Roman"/>
            <w:color w:val="428BCA"/>
            <w:sz w:val="24"/>
            <w:szCs w:val="24"/>
          </w:rPr>
          <w:t>DH-DD(2017)761</w:t>
        </w:r>
      </w:hyperlink>
      <w:r>
        <w:rPr>
          <w:rFonts w:ascii="Times New Roman" w:hAnsi="Times New Roman"/>
          <w:color w:val="333333"/>
          <w:sz w:val="24"/>
          <w:szCs w:val="24"/>
        </w:rPr>
        <w:t>), și având în vedere, în lumina informațiilor prezentate, că nicio altă măsură individuală nu este posibilă sau necesară în aceste cauze;</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sz w:val="24"/>
          <w:szCs w:val="24"/>
        </w:rPr>
        <w:t>Observând cu satisfacție, în ceea ce privește măsurile generale, eforturile depuse de autorități pentru a asigura prevenirea și detectarea efectivă a relelor tratamente în penitenciar, prin instruirea profesională oferită personalului din unitățile speciale de intervenție, supravegherea intervențiilor efectuate de Administrația Națională a Penitenciarelor, precum și instituirea unui cadru juridic adecvat de reglementare, documentare și raportare a probelor medicale privind rele tratamente;</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Subliniind importanța faptului ca autoritățile să continue să monitorizeze îndeaproape punerea în aplicare și impactul acestor măsuri și observând cu satisfacție angajamentul acestora de a-și continua eforturile în domeniu, ținând seama de standardele internaționale relevante, în special cele stabilite de Comitetul European pentru Prevenirea Torturii și Tratamentelor sau Pedepselor Inumane sau Degradante;</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Salutând măsurile adoptate pentru a spori eficiența anchetelor penale privind acuzațiile de rele tratamente aplicate de personalul penitenciarelor și observând primele rezultate pozitive ale procurorului general în monitorizarea punerii în aplicare a acestora;</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În sfârșit, observând că măsurile generale necesare ca răspuns la alte încălcări stabilite în cauza </w:t>
      </w:r>
      <w:r>
        <w:rPr>
          <w:rFonts w:ascii="Times New Roman" w:hAnsi="Times New Roman"/>
          <w:i/>
          <w:iCs/>
          <w:color w:val="333333"/>
          <w:sz w:val="24"/>
          <w:szCs w:val="24"/>
        </w:rPr>
        <w:t>Cucu</w:t>
      </w:r>
      <w:r>
        <w:rPr>
          <w:rFonts w:ascii="Times New Roman" w:hAnsi="Times New Roman"/>
          <w:color w:val="333333"/>
          <w:sz w:val="24"/>
          <w:szCs w:val="24"/>
        </w:rPr>
        <w:t xml:space="preserve"> sunt sau au fost examinate în cauzele grupurilor </w:t>
      </w:r>
      <w:r>
        <w:rPr>
          <w:rFonts w:ascii="Times New Roman" w:hAnsi="Times New Roman"/>
          <w:i/>
          <w:iCs/>
          <w:color w:val="333333"/>
          <w:sz w:val="24"/>
          <w:szCs w:val="24"/>
        </w:rPr>
        <w:t>Bragadireanu</w:t>
      </w:r>
      <w:r>
        <w:rPr>
          <w:rFonts w:ascii="Times New Roman" w:hAnsi="Times New Roman"/>
          <w:color w:val="333333"/>
          <w:sz w:val="24"/>
          <w:szCs w:val="24"/>
        </w:rPr>
        <w:t xml:space="preserve"> și </w:t>
      </w:r>
      <w:r>
        <w:rPr>
          <w:rFonts w:ascii="Times New Roman" w:hAnsi="Times New Roman"/>
          <w:i/>
          <w:iCs/>
          <w:color w:val="333333"/>
          <w:sz w:val="24"/>
          <w:szCs w:val="24"/>
        </w:rPr>
        <w:t>Calmanovici</w:t>
      </w:r>
      <w:r>
        <w:rPr>
          <w:rFonts w:ascii="Times New Roman" w:hAnsi="Times New Roman"/>
          <w:color w:val="333333"/>
          <w:sz w:val="24"/>
          <w:szCs w:val="24"/>
        </w:rPr>
        <w:t xml:space="preserve"> (încheiate prin Rezoluția </w:t>
      </w:r>
      <w:hyperlink r:id="rId6" w:tooltip="Rezoluția CM/ResDH(2014)13 - Executarea hotărârilor Curții Europene a Drepturilor Omului în opt cauze împotriva României" w:history="1">
        <w:r>
          <w:rPr>
            <w:rFonts w:ascii="Times New Roman" w:hAnsi="Times New Roman"/>
            <w:color w:val="428BCA"/>
            <w:sz w:val="24"/>
            <w:szCs w:val="24"/>
          </w:rPr>
          <w:t>CM/ResDH(2014)13</w:t>
        </w:r>
      </w:hyperlink>
      <w:r>
        <w:rPr>
          <w:rFonts w:ascii="Times New Roman" w:hAnsi="Times New Roman"/>
          <w:color w:val="333333"/>
          <w:sz w:val="24"/>
          <w:szCs w:val="24"/>
        </w:rPr>
        <w:t>).</w:t>
      </w:r>
    </w:p>
    <w:p w:rsidR="000504D2" w:rsidRPr="000504D2" w:rsidRDefault="000504D2" w:rsidP="000504D2">
      <w:pPr>
        <w:spacing w:before="100" w:beforeAutospacing="1" w:after="100" w:afterAutospacing="1" w:line="240" w:lineRule="auto"/>
        <w:ind w:left="483"/>
        <w:rPr>
          <w:rFonts w:ascii="Times New Roman" w:eastAsia="Times New Roman" w:hAnsi="Times New Roman" w:cs="Times New Roman"/>
          <w:color w:val="333333"/>
          <w:sz w:val="24"/>
          <w:szCs w:val="24"/>
        </w:rPr>
      </w:pPr>
      <w:r>
        <w:rPr>
          <w:rFonts w:ascii="Times New Roman" w:hAnsi="Times New Roman"/>
          <w:color w:val="333333"/>
          <w:sz w:val="24"/>
          <w:szCs w:val="24"/>
        </w:rPr>
        <w:t>DECLARĂ că și-a exercitat atribuțiile în temeiul art. 46 § 2 din Convenție în aceste cauze și</w:t>
      </w:r>
    </w:p>
    <w:p w:rsidR="000504D2" w:rsidRDefault="000504D2" w:rsidP="000504D2">
      <w:pPr>
        <w:spacing w:before="100" w:beforeAutospacing="1" w:after="100" w:afterAutospacing="1" w:line="240" w:lineRule="auto"/>
        <w:ind w:left="484"/>
        <w:rPr>
          <w:rFonts w:ascii="Times New Roman" w:eastAsia="Times New Roman" w:hAnsi="Times New Roman" w:cs="Times New Roman"/>
          <w:color w:val="333333"/>
          <w:sz w:val="24"/>
          <w:szCs w:val="24"/>
        </w:rPr>
      </w:pPr>
      <w:r>
        <w:rPr>
          <w:rFonts w:ascii="Times New Roman" w:hAnsi="Times New Roman"/>
          <w:color w:val="333333"/>
          <w:sz w:val="24"/>
          <w:szCs w:val="24"/>
        </w:rPr>
        <w:t>DECIDE să încheie examinarea acestora.</w:t>
      </w:r>
    </w:p>
    <w:p w:rsidR="000504D2" w:rsidRDefault="000504D2" w:rsidP="000504D2">
      <w:pPr>
        <w:spacing w:before="100" w:beforeAutospacing="1" w:after="100" w:afterAutospacing="1" w:line="240" w:lineRule="auto"/>
        <w:ind w:left="484"/>
        <w:rPr>
          <w:rFonts w:ascii="Times New Roman" w:eastAsia="Times New Roman" w:hAnsi="Times New Roman" w:cs="Times New Roman"/>
          <w:color w:val="333333"/>
          <w:sz w:val="24"/>
          <w:szCs w:val="24"/>
        </w:rPr>
      </w:pPr>
    </w:p>
    <w:p w:rsidR="000504D2" w:rsidRDefault="000504D2" w:rsidP="000504D2">
      <w:pPr>
        <w:spacing w:before="100" w:beforeAutospacing="1" w:after="100" w:afterAutospacing="1" w:line="240" w:lineRule="auto"/>
        <w:ind w:left="484"/>
        <w:rPr>
          <w:rFonts w:ascii="Times New Roman" w:eastAsia="Times New Roman" w:hAnsi="Times New Roman" w:cs="Times New Roman"/>
          <w:color w:val="333333"/>
          <w:sz w:val="24"/>
          <w:szCs w:val="24"/>
        </w:rPr>
      </w:pPr>
    </w:p>
    <w:p w:rsidR="000504D2" w:rsidRDefault="000504D2" w:rsidP="000504D2">
      <w:pPr>
        <w:spacing w:before="100" w:beforeAutospacing="1" w:after="100" w:afterAutospacing="1" w:line="240" w:lineRule="auto"/>
        <w:ind w:left="484"/>
        <w:rPr>
          <w:rFonts w:ascii="Times New Roman" w:eastAsia="Times New Roman" w:hAnsi="Times New Roman" w:cs="Times New Roman"/>
          <w:color w:val="333333"/>
          <w:sz w:val="24"/>
          <w:szCs w:val="24"/>
        </w:rPr>
      </w:pPr>
    </w:p>
    <w:p w:rsidR="000504D2" w:rsidRDefault="000504D2" w:rsidP="000504D2">
      <w:pPr>
        <w:spacing w:before="100" w:beforeAutospacing="1" w:after="100" w:afterAutospacing="1" w:line="240" w:lineRule="auto"/>
        <w:ind w:left="484"/>
        <w:rPr>
          <w:rFonts w:ascii="Times New Roman" w:eastAsia="Times New Roman" w:hAnsi="Times New Roman" w:cs="Times New Roman"/>
          <w:color w:val="333333"/>
          <w:sz w:val="24"/>
          <w:szCs w:val="24"/>
        </w:rPr>
      </w:pPr>
    </w:p>
    <w:p w:rsidR="000504D2" w:rsidRDefault="000504D2" w:rsidP="000504D2">
      <w:pPr>
        <w:spacing w:before="100" w:beforeAutospacing="1" w:after="100" w:afterAutospacing="1" w:line="240" w:lineRule="auto"/>
        <w:ind w:left="484"/>
        <w:rPr>
          <w:rFonts w:ascii="Times New Roman" w:eastAsia="Times New Roman" w:hAnsi="Times New Roman" w:cs="Times New Roman"/>
          <w:color w:val="333333"/>
          <w:sz w:val="24"/>
          <w:szCs w:val="24"/>
        </w:rPr>
      </w:pPr>
    </w:p>
    <w:p w:rsidR="000504D2" w:rsidRDefault="000504D2" w:rsidP="000504D2">
      <w:pPr>
        <w:spacing w:before="100" w:beforeAutospacing="1" w:after="100" w:afterAutospacing="1" w:line="240" w:lineRule="auto"/>
        <w:ind w:left="484"/>
        <w:rPr>
          <w:rFonts w:ascii="Times New Roman" w:eastAsia="Times New Roman" w:hAnsi="Times New Roman" w:cs="Times New Roman"/>
          <w:color w:val="333333"/>
          <w:sz w:val="24"/>
          <w:szCs w:val="24"/>
        </w:rPr>
      </w:pPr>
    </w:p>
    <w:p w:rsidR="000504D2" w:rsidRDefault="000504D2" w:rsidP="000504D2">
      <w:pPr>
        <w:spacing w:before="100" w:beforeAutospacing="1" w:after="100" w:afterAutospacing="1" w:line="240" w:lineRule="auto"/>
        <w:ind w:left="484"/>
        <w:rPr>
          <w:rFonts w:ascii="Times New Roman" w:eastAsia="Times New Roman" w:hAnsi="Times New Roman" w:cs="Times New Roman"/>
          <w:color w:val="333333"/>
          <w:sz w:val="24"/>
          <w:szCs w:val="24"/>
        </w:rPr>
      </w:pPr>
    </w:p>
    <w:p w:rsidR="000504D2" w:rsidRPr="000504D2" w:rsidRDefault="000504D2" w:rsidP="000504D2">
      <w:pPr>
        <w:spacing w:before="100" w:beforeAutospacing="1" w:after="100" w:afterAutospacing="1" w:line="240" w:lineRule="auto"/>
        <w:ind w:left="484"/>
        <w:rPr>
          <w:rFonts w:ascii="Times New Roman" w:eastAsia="Times New Roman" w:hAnsi="Times New Roman" w:cs="Times New Roman"/>
          <w:color w:val="333333"/>
          <w:sz w:val="24"/>
          <w:szCs w:val="24"/>
        </w:rPr>
      </w:pPr>
    </w:p>
    <w:p w:rsidR="000504D2" w:rsidRPr="000504D2" w:rsidRDefault="000504D2" w:rsidP="000504D2">
      <w:pPr>
        <w:spacing w:after="0" w:line="240" w:lineRule="auto"/>
        <w:rPr>
          <w:rFonts w:ascii="Helvetica" w:eastAsia="Times New Roman" w:hAnsi="Helvetica" w:cs="Helvetica"/>
          <w:color w:val="333333"/>
          <w:sz w:val="20"/>
          <w:szCs w:val="20"/>
        </w:rPr>
      </w:pPr>
      <w:r>
        <w:rPr>
          <w:rFonts w:ascii="Helvetica" w:hAnsi="Helvetica"/>
          <w:color w:val="333333"/>
          <w:sz w:val="20"/>
          <w:szCs w:val="20"/>
        </w:rPr>
        <w:lastRenderedPageBreak/>
        <w:t>CM-Public</w:t>
      </w:r>
    </w:p>
    <w:tbl>
      <w:tblPr>
        <w:tblpPr w:vertAnchor="text"/>
        <w:tblW w:w="5000" w:type="pct"/>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2340"/>
        <w:gridCol w:w="2340"/>
        <w:gridCol w:w="2340"/>
        <w:gridCol w:w="2340"/>
      </w:tblGrid>
      <w:tr w:rsidR="000504D2" w:rsidRPr="000504D2" w:rsidTr="000504D2">
        <w:trPr>
          <w:trHeight w:val="737"/>
        </w:trPr>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Arial Narrow" w:hAnsi="Arial Narrow"/>
                <w:b/>
                <w:bCs/>
                <w:color w:val="333333"/>
                <w:sz w:val="24"/>
                <w:szCs w:val="24"/>
              </w:rPr>
              <w:t>DELEGAȚII MINIȘTRILOR</w:t>
            </w:r>
          </w:p>
        </w:tc>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0504D2" w:rsidRPr="000504D2" w:rsidRDefault="000504D2" w:rsidP="000504D2">
            <w:pPr>
              <w:spacing w:before="100" w:beforeAutospacing="1" w:after="100" w:afterAutospacing="1" w:line="240" w:lineRule="auto"/>
              <w:ind w:left="-108"/>
              <w:jc w:val="center"/>
              <w:rPr>
                <w:rFonts w:ascii="Times New Roman" w:eastAsia="Times New Roman" w:hAnsi="Times New Roman" w:cs="Times New Roman"/>
                <w:color w:val="333333"/>
                <w:sz w:val="24"/>
                <w:szCs w:val="24"/>
              </w:rPr>
            </w:pPr>
            <w:r>
              <w:rPr>
                <w:rFonts w:ascii="Arial Narrow" w:hAnsi="Arial Narrow"/>
                <w:color w:val="333333"/>
                <w:sz w:val="24"/>
                <w:szCs w:val="24"/>
              </w:rPr>
              <w:t>Observații privind ordinea de zi</w:t>
            </w:r>
          </w:p>
        </w:tc>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0504D2" w:rsidRPr="000504D2" w:rsidRDefault="000504D2" w:rsidP="000504D2">
            <w:pPr>
              <w:spacing w:before="100" w:beforeAutospacing="1" w:after="100" w:afterAutospacing="1" w:line="240" w:lineRule="auto"/>
              <w:ind w:left="-40"/>
              <w:jc w:val="center"/>
              <w:rPr>
                <w:rFonts w:ascii="Times New Roman" w:eastAsia="Times New Roman" w:hAnsi="Times New Roman" w:cs="Times New Roman"/>
                <w:color w:val="333333"/>
                <w:sz w:val="24"/>
                <w:szCs w:val="24"/>
              </w:rPr>
            </w:pPr>
            <w:r>
              <w:rPr>
                <w:rFonts w:ascii="Arial Narrow" w:hAnsi="Arial Narrow"/>
                <w:b/>
                <w:bCs/>
                <w:color w:val="333333"/>
                <w:sz w:val="24"/>
                <w:szCs w:val="24"/>
              </w:rPr>
              <w:t>CM/Note/1294/H46-20</w:t>
            </w:r>
          </w:p>
        </w:tc>
        <w:tc>
          <w:tcPr>
            <w:tcW w:w="1250" w:type="pct"/>
            <w:tcBorders>
              <w:top w:val="nil"/>
              <w:left w:val="nil"/>
              <w:bottom w:val="single" w:sz="8" w:space="0" w:color="auto"/>
              <w:right w:val="nil"/>
            </w:tcBorders>
            <w:shd w:val="clear" w:color="auto" w:fill="auto"/>
            <w:tcMar>
              <w:top w:w="113" w:type="dxa"/>
              <w:left w:w="0" w:type="dxa"/>
              <w:bottom w:w="113" w:type="dxa"/>
              <w:right w:w="0" w:type="dxa"/>
            </w:tcMar>
            <w:vAlign w:val="center"/>
            <w:hideMark/>
          </w:tcPr>
          <w:p w:rsidR="000504D2" w:rsidRPr="000504D2" w:rsidRDefault="000504D2" w:rsidP="000504D2">
            <w:pPr>
              <w:spacing w:before="100" w:beforeAutospacing="1" w:after="100" w:afterAutospacing="1" w:line="240" w:lineRule="auto"/>
              <w:jc w:val="right"/>
              <w:rPr>
                <w:rFonts w:ascii="Times New Roman" w:eastAsia="Times New Roman" w:hAnsi="Times New Roman" w:cs="Times New Roman"/>
                <w:color w:val="333333"/>
                <w:sz w:val="24"/>
                <w:szCs w:val="24"/>
              </w:rPr>
            </w:pPr>
            <w:r>
              <w:rPr>
                <w:rFonts w:ascii="Arial Narrow" w:hAnsi="Arial Narrow"/>
                <w:color w:val="333333"/>
                <w:sz w:val="16"/>
                <w:szCs w:val="16"/>
              </w:rPr>
              <w:t>22 septembrie 2017</w:t>
            </w:r>
          </w:p>
        </w:tc>
      </w:tr>
    </w:tbl>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288"/>
      </w:tblGrid>
      <w:tr w:rsidR="000504D2" w:rsidRPr="000504D2" w:rsidTr="000504D2">
        <w:trPr>
          <w:tblCellSpacing w:w="0" w:type="dxa"/>
        </w:trPr>
        <w:tc>
          <w:tcPr>
            <w:tcW w:w="0" w:type="auto"/>
            <w:shd w:val="clear" w:color="auto" w:fill="auto"/>
            <w:tcMar>
              <w:top w:w="0" w:type="dxa"/>
              <w:left w:w="141" w:type="dxa"/>
              <w:bottom w:w="0" w:type="dxa"/>
              <w:right w:w="141" w:type="dxa"/>
            </w:tcMar>
            <w:hideMark/>
          </w:tcPr>
          <w:p w:rsidR="000504D2" w:rsidRPr="000504D2" w:rsidRDefault="000504D2" w:rsidP="000504D2">
            <w:pPr>
              <w:spacing w:after="0" w:line="240" w:lineRule="auto"/>
              <w:rPr>
                <w:rFonts w:ascii="Helvetica" w:eastAsia="Times New Roman" w:hAnsi="Helvetica" w:cs="Helvetica"/>
                <w:color w:val="333333"/>
                <w:sz w:val="20"/>
                <w:szCs w:val="20"/>
              </w:rPr>
            </w:pPr>
          </w:p>
        </w:tc>
      </w:tr>
    </w:tbl>
    <w:tbl>
      <w:tblPr>
        <w:tblW w:w="5000" w:type="pct"/>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9360"/>
      </w:tblGrid>
      <w:tr w:rsidR="000504D2" w:rsidRPr="000504D2" w:rsidTr="000504D2">
        <w:tc>
          <w:tcPr>
            <w:tcW w:w="9399" w:type="dxa"/>
            <w:tcBorders>
              <w:top w:val="nil"/>
              <w:left w:val="nil"/>
              <w:bottom w:val="single" w:sz="8" w:space="0" w:color="auto"/>
              <w:right w:val="nil"/>
            </w:tcBorders>
            <w:shd w:val="clear" w:color="auto" w:fill="auto"/>
            <w:tcMar>
              <w:top w:w="227" w:type="dxa"/>
              <w:left w:w="0" w:type="dxa"/>
              <w:bottom w:w="227" w:type="dxa"/>
              <w:right w:w="0" w:type="dxa"/>
            </w:tcMar>
            <w:vAlign w:val="cente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Arial Narrow" w:hAnsi="Arial Narrow"/>
                <w:b/>
                <w:bCs/>
                <w:color w:val="333333"/>
              </w:rPr>
              <w:t>A 1294-a reuniune, 19-21 septembrie 2017 (DO)</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Arial Narrow" w:hAnsi="Arial Narrow"/>
                <w:color w:val="333333"/>
              </w:rPr>
              <w:t>Drepturile omului</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Arial Narrow" w:hAnsi="Arial Narrow"/>
                <w:i/>
                <w:iCs/>
                <w:color w:val="333333"/>
                <w:sz w:val="24"/>
                <w:szCs w:val="24"/>
              </w:rPr>
              <w:t> </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Arial Narrow" w:hAnsi="Arial Narrow"/>
                <w:b/>
                <w:bCs/>
                <w:color w:val="333333"/>
                <w:sz w:val="28"/>
                <w:szCs w:val="28"/>
              </w:rPr>
              <w:t>H46-20 grupul Predică împotriva României (cererea nr. 42344/07)</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Arial Narrow" w:hAnsi="Arial Narrow"/>
                <w:color w:val="333333"/>
              </w:rPr>
              <w:t>Supravegherea executării hotărârilor Curții Europene</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Arial Narrow" w:hAnsi="Arial Narrow"/>
                <w:color w:val="333333"/>
                <w:sz w:val="18"/>
                <w:szCs w:val="18"/>
              </w:rPr>
              <w:t>Documente de referință</w:t>
            </w:r>
          </w:p>
          <w:p w:rsidR="000504D2" w:rsidRPr="000504D2" w:rsidRDefault="00B77EF8" w:rsidP="000504D2">
            <w:pPr>
              <w:spacing w:before="100" w:beforeAutospacing="1" w:after="100" w:afterAutospacing="1" w:line="240" w:lineRule="auto"/>
              <w:rPr>
                <w:rFonts w:ascii="Times New Roman" w:eastAsia="Times New Roman" w:hAnsi="Times New Roman" w:cs="Times New Roman"/>
                <w:color w:val="333333"/>
                <w:sz w:val="24"/>
                <w:szCs w:val="24"/>
              </w:rPr>
            </w:pPr>
            <w:hyperlink r:id="rId7" w:tooltip="A 1294-a reuniune (septembrie 2017) (DO) - Raportul acțiunii (28/06/2017) - Comunicarea României în cauza PREDICĂ împotriva României (Cererea nr. 42344/07) [disponibilă doar în limba engleză] " w:history="1">
              <w:r w:rsidR="000504D2">
                <w:rPr>
                  <w:rFonts w:ascii="Arial Narrow" w:hAnsi="Arial Narrow"/>
                  <w:color w:val="428BCA"/>
                  <w:sz w:val="18"/>
                  <w:szCs w:val="18"/>
                </w:rPr>
                <w:t>DH-DD(2017)761</w:t>
              </w:r>
            </w:hyperlink>
            <w:r w:rsidR="000504D2">
              <w:rPr>
                <w:rFonts w:ascii="Arial Narrow" w:hAnsi="Arial Narrow"/>
                <w:color w:val="333333"/>
                <w:sz w:val="18"/>
                <w:szCs w:val="18"/>
              </w:rPr>
              <w:t xml:space="preserve">, </w:t>
            </w:r>
            <w:hyperlink r:id="rId8" w:tooltip="1157 (DO) reuniune, 4-6 decembrie 2012 - Decizie în cauza nr. 17 - Predică împotriva României 42344/07" w:history="1">
              <w:r w:rsidR="000504D2">
                <w:rPr>
                  <w:rFonts w:ascii="Arial Narrow" w:hAnsi="Arial Narrow"/>
                  <w:color w:val="428BCA"/>
                  <w:sz w:val="18"/>
                  <w:szCs w:val="18"/>
                </w:rPr>
                <w:t>CM/Del/Dec(2012)1157/17</w:t>
              </w:r>
            </w:hyperlink>
          </w:p>
        </w:tc>
      </w:tr>
    </w:tbl>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w:t>
      </w:r>
      <w:r>
        <w:rPr>
          <w:rFonts w:ascii="Times New Roman" w:hAnsi="Times New Roman"/>
          <w:vanish/>
          <w:color w:val="333333"/>
          <w:sz w:val="24"/>
          <w:szCs w:val="24"/>
          <w:lang w:val="it-IT"/>
        </w:rPr>
        <w:t> </w:t>
      </w:r>
    </w:p>
    <w:tbl>
      <w:tblPr>
        <w:tblW w:w="9600"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firstRow="1" w:lastRow="0" w:firstColumn="1" w:lastColumn="0" w:noHBand="0" w:noVBand="1"/>
      </w:tblPr>
      <w:tblGrid>
        <w:gridCol w:w="1714"/>
        <w:gridCol w:w="2926"/>
        <w:gridCol w:w="1559"/>
        <w:gridCol w:w="1418"/>
        <w:gridCol w:w="1983"/>
      </w:tblGrid>
      <w:tr w:rsidR="000504D2" w:rsidRPr="000504D2" w:rsidTr="000504D2">
        <w:tc>
          <w:tcPr>
            <w:tcW w:w="17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Cerere</w:t>
            </w:r>
          </w:p>
        </w:tc>
        <w:tc>
          <w:tcPr>
            <w:tcW w:w="292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Cauza</w:t>
            </w:r>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Hotărârea din</w:t>
            </w:r>
          </w:p>
        </w:tc>
        <w:tc>
          <w:tcPr>
            <w:tcW w:w="141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Definitivă la data de</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b/>
                <w:bCs/>
                <w:color w:val="333333"/>
                <w:sz w:val="24"/>
                <w:szCs w:val="24"/>
              </w:rPr>
              <w:t>Indicator de clasificare</w:t>
            </w:r>
          </w:p>
        </w:tc>
      </w:tr>
      <w:tr w:rsidR="000504D2" w:rsidRPr="000504D2" w:rsidTr="000504D2">
        <w:tc>
          <w:tcPr>
            <w:tcW w:w="171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bookmarkStart w:id="0" w:name="ApplicationNumber"/>
            <w:bookmarkEnd w:id="0"/>
            <w:r>
              <w:rPr>
                <w:rFonts w:ascii="Times New Roman" w:hAnsi="Times New Roman"/>
                <w:color w:val="333333"/>
                <w:sz w:val="24"/>
                <w:szCs w:val="24"/>
              </w:rPr>
              <w:t>42344/07</w:t>
            </w:r>
          </w:p>
        </w:tc>
        <w:tc>
          <w:tcPr>
            <w:tcW w:w="29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PREDICĂ</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07/06/2011</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07/09/2011</w:t>
            </w:r>
          </w:p>
        </w:tc>
        <w:tc>
          <w:tcPr>
            <w:tcW w:w="1984" w:type="dxa"/>
            <w:vMerge w:val="restar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Problemă complexă</w:t>
            </w:r>
          </w:p>
        </w:tc>
      </w:tr>
      <w:tr w:rsidR="000504D2" w:rsidRPr="000504D2" w:rsidTr="000504D2">
        <w:tc>
          <w:tcPr>
            <w:tcW w:w="171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16117/02</w:t>
            </w:r>
          </w:p>
        </w:tc>
        <w:tc>
          <w:tcPr>
            <w:tcW w:w="29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AUSTRIANU</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12/02/2013</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12/05/2013</w:t>
            </w:r>
          </w:p>
        </w:tc>
        <w:tc>
          <w:tcPr>
            <w:tcW w:w="0" w:type="auto"/>
            <w:vMerge/>
            <w:tcBorders>
              <w:top w:val="nil"/>
              <w:left w:val="nil"/>
              <w:bottom w:val="single" w:sz="8" w:space="0" w:color="auto"/>
              <w:right w:val="single" w:sz="8" w:space="0" w:color="auto"/>
            </w:tcBorders>
            <w:shd w:val="clear" w:color="auto" w:fill="auto"/>
            <w:vAlign w:val="center"/>
            <w:hideMark/>
          </w:tcPr>
          <w:p w:rsidR="000504D2" w:rsidRPr="000504D2" w:rsidRDefault="000504D2" w:rsidP="000504D2">
            <w:pPr>
              <w:spacing w:after="0" w:line="240" w:lineRule="auto"/>
              <w:rPr>
                <w:rFonts w:ascii="Times New Roman" w:eastAsia="Times New Roman" w:hAnsi="Times New Roman" w:cs="Times New Roman"/>
                <w:color w:val="333333"/>
                <w:sz w:val="24"/>
                <w:szCs w:val="24"/>
              </w:rPr>
            </w:pPr>
          </w:p>
        </w:tc>
      </w:tr>
      <w:tr w:rsidR="000504D2" w:rsidRPr="000504D2" w:rsidTr="000504D2">
        <w:tc>
          <w:tcPr>
            <w:tcW w:w="171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22362/06</w:t>
            </w:r>
          </w:p>
        </w:tc>
        <w:tc>
          <w:tcPr>
            <w:tcW w:w="29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CUCU</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13/11/2012</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13/02/2013</w:t>
            </w:r>
          </w:p>
        </w:tc>
        <w:tc>
          <w:tcPr>
            <w:tcW w:w="0" w:type="auto"/>
            <w:vMerge/>
            <w:tcBorders>
              <w:top w:val="nil"/>
              <w:left w:val="nil"/>
              <w:bottom w:val="single" w:sz="8" w:space="0" w:color="auto"/>
              <w:right w:val="single" w:sz="8" w:space="0" w:color="auto"/>
            </w:tcBorders>
            <w:shd w:val="clear" w:color="auto" w:fill="auto"/>
            <w:vAlign w:val="center"/>
            <w:hideMark/>
          </w:tcPr>
          <w:p w:rsidR="000504D2" w:rsidRPr="000504D2" w:rsidRDefault="000504D2" w:rsidP="000504D2">
            <w:pPr>
              <w:spacing w:after="0" w:line="240" w:lineRule="auto"/>
              <w:rPr>
                <w:rFonts w:ascii="Times New Roman" w:eastAsia="Times New Roman" w:hAnsi="Times New Roman" w:cs="Times New Roman"/>
                <w:color w:val="333333"/>
                <w:sz w:val="24"/>
                <w:szCs w:val="24"/>
              </w:rPr>
            </w:pPr>
          </w:p>
        </w:tc>
      </w:tr>
      <w:tr w:rsidR="000504D2" w:rsidRPr="000504D2" w:rsidTr="000504D2">
        <w:tc>
          <w:tcPr>
            <w:tcW w:w="171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2770/09</w:t>
            </w:r>
          </w:p>
        </w:tc>
        <w:tc>
          <w:tcPr>
            <w:tcW w:w="292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GHEORGHE DIMA</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19/04/2016</w:t>
            </w:r>
          </w:p>
        </w:tc>
        <w:tc>
          <w:tcPr>
            <w:tcW w:w="141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19/07/2016</w:t>
            </w:r>
          </w:p>
        </w:tc>
        <w:tc>
          <w:tcPr>
            <w:tcW w:w="0" w:type="auto"/>
            <w:vMerge/>
            <w:tcBorders>
              <w:top w:val="nil"/>
              <w:left w:val="nil"/>
              <w:bottom w:val="single" w:sz="8" w:space="0" w:color="auto"/>
              <w:right w:val="single" w:sz="8" w:space="0" w:color="auto"/>
            </w:tcBorders>
            <w:shd w:val="clear" w:color="auto" w:fill="auto"/>
            <w:vAlign w:val="center"/>
            <w:hideMark/>
          </w:tcPr>
          <w:p w:rsidR="000504D2" w:rsidRPr="000504D2" w:rsidRDefault="000504D2" w:rsidP="000504D2">
            <w:pPr>
              <w:spacing w:after="0" w:line="240" w:lineRule="auto"/>
              <w:rPr>
                <w:rFonts w:ascii="Times New Roman" w:eastAsia="Times New Roman" w:hAnsi="Times New Roman" w:cs="Times New Roman"/>
                <w:color w:val="333333"/>
                <w:sz w:val="24"/>
                <w:szCs w:val="24"/>
              </w:rPr>
            </w:pPr>
          </w:p>
        </w:tc>
      </w:tr>
    </w:tbl>
    <w:p w:rsidR="000504D2" w:rsidRPr="000504D2" w:rsidRDefault="000504D2" w:rsidP="000504D2">
      <w:pPr>
        <w:spacing w:before="100" w:beforeAutospacing="1" w:after="100" w:afterAutospacing="1" w:line="240" w:lineRule="auto"/>
        <w:rPr>
          <w:rFonts w:ascii="Open Sans" w:eastAsia="Times New Roman" w:hAnsi="Open Sans" w:cs="Helvetica"/>
          <w:color w:val="333333"/>
          <w:sz w:val="20"/>
          <w:szCs w:val="20"/>
        </w:rPr>
      </w:pPr>
      <w:r>
        <w:rPr>
          <w:rFonts w:ascii="Open Sans" w:hAnsi="Open Sans"/>
          <w:b/>
          <w:bCs/>
          <w:color w:val="333333"/>
          <w:sz w:val="20"/>
          <w:szCs w:val="20"/>
        </w:rPr>
        <w:t>Descrierea cauzei</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Cauzele din acest grup privesc:</w:t>
      </w:r>
    </w:p>
    <w:p w:rsidR="000504D2" w:rsidRPr="000504D2" w:rsidRDefault="000504D2" w:rsidP="000504D2">
      <w:pPr>
        <w:spacing w:before="100" w:beforeAutospacing="1" w:after="100" w:afterAutospacing="1" w:line="240" w:lineRule="auto"/>
        <w:ind w:left="135" w:hanging="360"/>
        <w:rPr>
          <w:rFonts w:ascii="Open Sans" w:eastAsia="Times New Roman" w:hAnsi="Open Sans" w:cs="Helvetica"/>
          <w:color w:val="333333"/>
          <w:sz w:val="20"/>
          <w:szCs w:val="20"/>
        </w:rPr>
      </w:pPr>
      <w:r>
        <w:rPr>
          <w:rFonts w:ascii="Open Sans" w:hAnsi="Open Sans"/>
          <w:color w:val="000000"/>
          <w:sz w:val="20"/>
          <w:szCs w:val="20"/>
        </w:rPr>
        <w:t>-     decesul fiul reclamantului în 2003, în timp ce victima ispășea o pedeapsă în Penitenciarul Rahova (</w:t>
      </w:r>
      <w:r>
        <w:rPr>
          <w:rFonts w:ascii="Open Sans" w:hAnsi="Open Sans"/>
          <w:i/>
          <w:iCs/>
          <w:color w:val="000000"/>
          <w:sz w:val="20"/>
          <w:szCs w:val="20"/>
        </w:rPr>
        <w:t>Predică</w:t>
      </w:r>
      <w:r>
        <w:rPr>
          <w:rFonts w:ascii="Open Sans" w:hAnsi="Open Sans"/>
          <w:color w:val="000000"/>
          <w:sz w:val="20"/>
          <w:szCs w:val="20"/>
        </w:rPr>
        <w:t>) și relele tratamente la care a fost supus reclamantul în 1998 de către personalul de supraveghere din Penitenciarul Colibași (</w:t>
      </w:r>
      <w:r>
        <w:rPr>
          <w:rFonts w:ascii="Open Sans" w:hAnsi="Open Sans"/>
          <w:i/>
          <w:iCs/>
          <w:color w:val="000000"/>
          <w:sz w:val="20"/>
          <w:szCs w:val="20"/>
        </w:rPr>
        <w:t>Austrianu</w:t>
      </w:r>
      <w:r>
        <w:rPr>
          <w:rFonts w:ascii="Open Sans" w:hAnsi="Open Sans"/>
          <w:color w:val="000000"/>
          <w:sz w:val="20"/>
          <w:szCs w:val="20"/>
        </w:rPr>
        <w:t>) (încălcare pe fond a art. 2 sau art. 3).</w:t>
      </w:r>
    </w:p>
    <w:p w:rsidR="000504D2" w:rsidRPr="000504D2" w:rsidRDefault="000504D2" w:rsidP="000504D2">
      <w:pPr>
        <w:spacing w:before="100" w:beforeAutospacing="1" w:after="100" w:afterAutospacing="1" w:line="240" w:lineRule="auto"/>
        <w:ind w:left="135" w:hanging="360"/>
        <w:rPr>
          <w:rFonts w:ascii="Open Sans" w:eastAsia="Times New Roman" w:hAnsi="Open Sans" w:cs="Helvetica"/>
          <w:color w:val="333333"/>
          <w:sz w:val="20"/>
          <w:szCs w:val="20"/>
        </w:rPr>
      </w:pPr>
      <w:r>
        <w:rPr>
          <w:rFonts w:ascii="Open Sans" w:hAnsi="Open Sans"/>
          <w:color w:val="000000"/>
          <w:sz w:val="20"/>
          <w:szCs w:val="20"/>
        </w:rPr>
        <w:t xml:space="preserve">-     </w:t>
      </w:r>
      <w:r>
        <w:rPr>
          <w:rFonts w:ascii="Open Sans" w:hAnsi="Open Sans"/>
          <w:sz w:val="20"/>
          <w:szCs w:val="20"/>
        </w:rPr>
        <w:t xml:space="preserve">ineficiența anchetelor penale efectuate la diferite momente între 1998 și 2015 privind aceste incidente și acuzațiile celorlalți reclamanți potrivit cărora au fost supuși la rele tratamente de către personalul din unitățile speciale de intervenție de pe lângă instituțiile penitenciare în care se aflau în detenție (încălcare procedurală a art. 2 în </w:t>
      </w:r>
      <w:r>
        <w:rPr>
          <w:rFonts w:ascii="Open Sans" w:hAnsi="Open Sans"/>
          <w:i/>
          <w:iCs/>
          <w:sz w:val="20"/>
          <w:szCs w:val="20"/>
        </w:rPr>
        <w:t>Predică</w:t>
      </w:r>
      <w:r>
        <w:rPr>
          <w:rFonts w:ascii="Open Sans" w:hAnsi="Open Sans"/>
          <w:sz w:val="20"/>
          <w:szCs w:val="20"/>
        </w:rPr>
        <w:t xml:space="preserve"> și a art. 3 în celelalte cauze).</w:t>
      </w:r>
    </w:p>
    <w:p w:rsidR="000504D2" w:rsidRPr="000504D2" w:rsidRDefault="000504D2" w:rsidP="000504D2">
      <w:pPr>
        <w:spacing w:before="100" w:beforeAutospacing="1" w:after="100" w:afterAutospacing="1" w:line="240" w:lineRule="auto"/>
        <w:ind w:left="135" w:hanging="360"/>
        <w:rPr>
          <w:rFonts w:ascii="Open Sans" w:eastAsia="Times New Roman" w:hAnsi="Open Sans" w:cs="Helvetica"/>
          <w:color w:val="333333"/>
          <w:sz w:val="20"/>
          <w:szCs w:val="20"/>
        </w:rPr>
      </w:pPr>
      <w:r>
        <w:rPr>
          <w:rFonts w:ascii="Open Sans" w:hAnsi="Open Sans"/>
          <w:color w:val="000000"/>
          <w:sz w:val="20"/>
          <w:szCs w:val="20"/>
        </w:rPr>
        <w:t xml:space="preserve">-     lipsa unui recurs efectiv care să permită reclamantului să solicite despăgubiri, din cauza absenței unei anchete penale eficiente (încălcarea art. 13 în cauza </w:t>
      </w:r>
      <w:r>
        <w:rPr>
          <w:rFonts w:ascii="Open Sans" w:hAnsi="Open Sans"/>
          <w:i/>
          <w:iCs/>
          <w:color w:val="000000"/>
          <w:sz w:val="20"/>
          <w:szCs w:val="20"/>
        </w:rPr>
        <w:t>Predică</w:t>
      </w:r>
      <w:r>
        <w:rPr>
          <w:rFonts w:ascii="Open Sans" w:hAnsi="Open Sans"/>
          <w:color w:val="000000"/>
          <w:sz w:val="20"/>
          <w:szCs w:val="20"/>
        </w:rPr>
        <w:t>).</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 xml:space="preserve">Cauza </w:t>
      </w:r>
      <w:r>
        <w:rPr>
          <w:rFonts w:ascii="Times New Roman" w:hAnsi="Times New Roman"/>
          <w:i/>
          <w:iCs/>
          <w:color w:val="000000"/>
          <w:sz w:val="24"/>
          <w:szCs w:val="24"/>
        </w:rPr>
        <w:t>Cucu</w:t>
      </w:r>
      <w:r>
        <w:rPr>
          <w:rFonts w:ascii="Times New Roman" w:hAnsi="Times New Roman"/>
          <w:color w:val="000000"/>
          <w:sz w:val="24"/>
          <w:szCs w:val="24"/>
        </w:rPr>
        <w:t xml:space="preserve"> privește, de asemenea, suprapopularea și condițiile materiale și de igienă precare în penitenciarele Jilava și Giurgiu în perioada 2001 – 2009 (încălcarea art. 3) și interzicerea </w:t>
      </w:r>
      <w:r>
        <w:rPr>
          <w:rFonts w:ascii="Times New Roman" w:hAnsi="Times New Roman"/>
          <w:color w:val="000000"/>
          <w:sz w:val="24"/>
          <w:szCs w:val="24"/>
        </w:rPr>
        <w:lastRenderedPageBreak/>
        <w:t>automată a dreptului de vot al reclamantului, din cauza pronunțării unei hotărâri de condamnare la pedeapsa cu închisoarea în anul 2007 (încălcare a art. 3 din Protocolul nr. 1).</w:t>
      </w:r>
      <w:hyperlink r:id="rId9" w:anchor="_ftn1" w:history="1">
        <w:r>
          <w:rPr>
            <w:rFonts w:ascii="Arial" w:hAnsi="Arial"/>
            <w:color w:val="000000"/>
            <w:sz w:val="20"/>
            <w:szCs w:val="20"/>
          </w:rPr>
          <w:t>[1]</w:t>
        </w:r>
      </w:hyperlink>
    </w:p>
    <w:p w:rsidR="000504D2" w:rsidRPr="000504D2" w:rsidRDefault="000504D2" w:rsidP="000504D2">
      <w:pPr>
        <w:spacing w:before="100" w:beforeAutospacing="1" w:after="100" w:afterAutospacing="1" w:line="240" w:lineRule="auto"/>
        <w:rPr>
          <w:rFonts w:ascii="Open Sans" w:eastAsia="Times New Roman" w:hAnsi="Open Sans" w:cs="Helvetica"/>
          <w:color w:val="333333"/>
          <w:sz w:val="20"/>
          <w:szCs w:val="20"/>
        </w:rPr>
      </w:pPr>
      <w:r>
        <w:rPr>
          <w:rFonts w:ascii="Open Sans" w:hAnsi="Open Sans"/>
          <w:b/>
          <w:bCs/>
          <w:color w:val="333333"/>
          <w:sz w:val="20"/>
          <w:szCs w:val="20"/>
        </w:rPr>
        <w:t>Stadiul executării</w:t>
      </w:r>
    </w:p>
    <w:p w:rsidR="000504D2" w:rsidRPr="000504D2" w:rsidRDefault="000504D2" w:rsidP="000504D2">
      <w:pPr>
        <w:spacing w:before="100" w:beforeAutospacing="1" w:after="100" w:afterAutospacing="1" w:line="240" w:lineRule="auto"/>
        <w:rPr>
          <w:rFonts w:ascii="Open Sans" w:eastAsia="Times New Roman" w:hAnsi="Open Sans" w:cs="Helvetica"/>
          <w:color w:val="333333"/>
          <w:sz w:val="20"/>
          <w:szCs w:val="20"/>
        </w:rPr>
      </w:pPr>
      <w:r>
        <w:rPr>
          <w:rFonts w:ascii="Open Sans" w:hAnsi="Open Sans"/>
        </w:rPr>
        <w:t xml:space="preserve">Comitetul a examinat cauza </w:t>
      </w:r>
      <w:r>
        <w:rPr>
          <w:rFonts w:ascii="Open Sans" w:hAnsi="Open Sans"/>
          <w:i/>
          <w:iCs/>
        </w:rPr>
        <w:t>Predică</w:t>
      </w:r>
      <w:r>
        <w:rPr>
          <w:rFonts w:ascii="Open Sans" w:hAnsi="Open Sans"/>
        </w:rPr>
        <w:t xml:space="preserve"> în cursul celei de-a 1157-a reuniuni (decembrie 2012) (DO).</w:t>
      </w:r>
      <w:r>
        <w:rPr>
          <w:rFonts w:ascii="Open Sans" w:hAnsi="Open Sans"/>
          <w:color w:val="333333"/>
          <w:sz w:val="20"/>
          <w:szCs w:val="20"/>
        </w:rPr>
        <w:t xml:space="preserve"> Autoritățile au transmis raportul acțiunii la 21 iulie 2015. Întrucât anumite aspecte privind măsurile generale nu au fost abordate, Secretariatul a solicitat informații suplimentare. Autoritățile au prezentat raportul acțiunii actualizat la 28 iunie 2017 (</w:t>
      </w:r>
      <w:hyperlink r:id="rId10" w:tooltip="A 1294-a reuniune (septembrie 2017) (DO) - Raportul acțiunii (28/06/2017) - Comunicarea României în cauza PREDICĂ împotriva României (Cererea nr. 42344/07) [disponibilă doar în limba engleză] " w:history="1">
        <w:r>
          <w:rPr>
            <w:rFonts w:ascii="Open Sans" w:hAnsi="Open Sans"/>
            <w:color w:val="428BCA"/>
            <w:sz w:val="20"/>
            <w:szCs w:val="20"/>
          </w:rPr>
          <w:t>DH-DD(2017)761</w:t>
        </w:r>
      </w:hyperlink>
      <w:r>
        <w:rPr>
          <w:rFonts w:ascii="Open Sans" w:hAnsi="Open Sans"/>
          <w:color w:val="333333"/>
          <w:sz w:val="20"/>
          <w:szCs w:val="20"/>
        </w:rPr>
        <w:t>).</w:t>
      </w:r>
    </w:p>
    <w:p w:rsidR="000504D2" w:rsidRPr="000504D2" w:rsidRDefault="000504D2" w:rsidP="000504D2">
      <w:pPr>
        <w:spacing w:before="100" w:beforeAutospacing="1" w:after="100" w:afterAutospacing="1" w:line="240" w:lineRule="auto"/>
        <w:rPr>
          <w:rFonts w:ascii="Open Sans" w:eastAsia="Times New Roman" w:hAnsi="Open Sans" w:cs="Helvetica"/>
          <w:color w:val="333333"/>
          <w:sz w:val="20"/>
          <w:szCs w:val="20"/>
        </w:rPr>
      </w:pPr>
      <w:r>
        <w:rPr>
          <w:rFonts w:ascii="Open Sans" w:hAnsi="Open Sans"/>
          <w:i/>
          <w:iCs/>
          <w:color w:val="000000"/>
          <w:sz w:val="20"/>
          <w:szCs w:val="20"/>
          <w:u w:val="single"/>
        </w:rPr>
        <w:t>Măsuri individuale</w:t>
      </w:r>
      <w:r>
        <w:rPr>
          <w:rFonts w:ascii="Open Sans" w:hAnsi="Open Sans"/>
          <w:i/>
          <w:iCs/>
          <w:color w:val="000000"/>
          <w:sz w:val="20"/>
          <w:szCs w:val="20"/>
        </w:rPr>
        <w:t>:</w:t>
      </w:r>
      <w:r>
        <w:rPr>
          <w:rFonts w:ascii="Open Sans" w:hAnsi="Open Sans"/>
          <w:color w:val="333333"/>
          <w:sz w:val="20"/>
          <w:szCs w:val="20"/>
        </w:rPr>
        <w:t xml:space="preserve"> </w:t>
      </w:r>
      <w:r>
        <w:rPr>
          <w:rFonts w:ascii="Open Sans" w:hAnsi="Open Sans"/>
          <w:color w:val="000000"/>
          <w:sz w:val="20"/>
          <w:szCs w:val="20"/>
        </w:rPr>
        <w:t>Tuturor reclamanților li s-a acordat o reparație echitabilă, care le-a fost plătită.</w:t>
      </w:r>
    </w:p>
    <w:p w:rsidR="000504D2" w:rsidRPr="000504D2" w:rsidRDefault="000504D2" w:rsidP="000504D2">
      <w:pPr>
        <w:spacing w:before="100" w:beforeAutospacing="1" w:after="100" w:afterAutospacing="1" w:line="240" w:lineRule="auto"/>
        <w:rPr>
          <w:rFonts w:ascii="Open Sans" w:eastAsia="Times New Roman" w:hAnsi="Open Sans" w:cs="Helvetica"/>
          <w:color w:val="333333"/>
          <w:sz w:val="20"/>
          <w:szCs w:val="20"/>
        </w:rPr>
      </w:pPr>
      <w:r>
        <w:rPr>
          <w:rFonts w:ascii="Open Sans" w:hAnsi="Open Sans"/>
          <w:i/>
          <w:iCs/>
          <w:color w:val="000000"/>
          <w:sz w:val="20"/>
          <w:szCs w:val="20"/>
        </w:rPr>
        <w:t>1) Încălcări procedurale ale art. 2 sau art. 3 (ineficiența anchetelor)</w:t>
      </w:r>
    </w:p>
    <w:p w:rsidR="000504D2" w:rsidRPr="000504D2" w:rsidRDefault="000504D2" w:rsidP="000504D2">
      <w:pPr>
        <w:spacing w:before="100" w:beforeAutospacing="1" w:after="100" w:afterAutospacing="1" w:line="240" w:lineRule="auto"/>
        <w:rPr>
          <w:rFonts w:ascii="Open Sans" w:eastAsia="Times New Roman" w:hAnsi="Open Sans" w:cs="Helvetica"/>
          <w:color w:val="333333"/>
          <w:sz w:val="20"/>
          <w:szCs w:val="20"/>
        </w:rPr>
      </w:pPr>
      <w:r>
        <w:rPr>
          <w:rFonts w:ascii="Open Sans" w:hAnsi="Open Sans"/>
          <w:color w:val="000000"/>
          <w:sz w:val="20"/>
          <w:szCs w:val="20"/>
          <w:u w:val="single"/>
        </w:rPr>
        <w:t>Cauza</w:t>
      </w:r>
      <w:r>
        <w:rPr>
          <w:rFonts w:ascii="Open Sans" w:hAnsi="Open Sans"/>
          <w:color w:val="333333"/>
          <w:sz w:val="20"/>
          <w:szCs w:val="20"/>
        </w:rPr>
        <w:t xml:space="preserve"> </w:t>
      </w:r>
      <w:r>
        <w:rPr>
          <w:rFonts w:ascii="Open Sans" w:hAnsi="Open Sans"/>
          <w:i/>
          <w:iCs/>
          <w:color w:val="000000"/>
          <w:sz w:val="20"/>
          <w:szCs w:val="20"/>
          <w:u w:val="single"/>
        </w:rPr>
        <w:t>Predică</w:t>
      </w:r>
      <w:r>
        <w:rPr>
          <w:rFonts w:ascii="Open Sans" w:hAnsi="Open Sans"/>
          <w:color w:val="000000"/>
          <w:sz w:val="20"/>
          <w:szCs w:val="20"/>
        </w:rPr>
        <w:t xml:space="preserve">: </w:t>
      </w:r>
      <w:r>
        <w:rPr>
          <w:rFonts w:ascii="Open Sans" w:hAnsi="Open Sans"/>
          <w:sz w:val="20"/>
          <w:szCs w:val="20"/>
        </w:rPr>
        <w:t>la data pronunțării hotărârii, parchetul civil reluase deja ancheta și audiase colegii de detenție ai victimei și alte persoane private de libertate care ar fi putut avea cunoștință despre evenimente, inclusiv pe cei care au raportat anterior implicarea unității speciale de intervenție în deces.</w:t>
      </w:r>
      <w:r>
        <w:rPr>
          <w:rFonts w:ascii="Open Sans" w:hAnsi="Open Sans"/>
          <w:color w:val="000000"/>
          <w:sz w:val="20"/>
          <w:szCs w:val="20"/>
        </w:rPr>
        <w:t xml:space="preserve"> De asemenea, parchetul identificase și audiase membrii grupului care avuseseră contacte cu victima înainte de decesul acesteia. Aceste noi faze ale anchetei nu au permis stabilirea identității persoanelor responsabile pentru deces. În septembrie 2012, parchetul a decis clasificarea cauzei ca având autori neidentificați. Reclamantul a fost informat despre această decizie în octombrie 2012, atunci când a fost audiat ultima dată de parchet și nu a obiectat și nici nu a cerut colectarea de probe suplimentare. Întrucât nu există un termen limită, reclamantul poate încă solicita administrarea de probe suplimentare, iar poliția judiciară, căreia parchetul i-a transmis cauza, trebuie să caute și să urmărească noi piste în anchetă. Activitatea poliției judiciare în acest context este supravegheată de parchet (a se vedea </w:t>
      </w:r>
      <w:hyperlink r:id="rId11" w:tooltip="A 1294-a reuniune (septembrie 2017) (DO) - Raportul acțiunii (28/06/2017) - Comunicarea României în cauza PREDICĂ împotriva României (Cererea nr. 42344/07) [disponibilă doar în limba engleză] " w:history="1">
        <w:r>
          <w:rPr>
            <w:rFonts w:ascii="Open Sans" w:hAnsi="Open Sans"/>
            <w:color w:val="000000"/>
            <w:sz w:val="20"/>
            <w:szCs w:val="20"/>
          </w:rPr>
          <w:t>DH-DD(2017)761</w:t>
        </w:r>
      </w:hyperlink>
      <w:r>
        <w:rPr>
          <w:rFonts w:ascii="Open Sans" w:hAnsi="Open Sans"/>
          <w:color w:val="000000"/>
          <w:sz w:val="20"/>
          <w:szCs w:val="20"/>
        </w:rPr>
        <w:t>).</w:t>
      </w:r>
    </w:p>
    <w:p w:rsidR="000504D2" w:rsidRPr="000504D2" w:rsidRDefault="000504D2" w:rsidP="000504D2">
      <w:pPr>
        <w:spacing w:before="100" w:beforeAutospacing="1" w:after="100" w:afterAutospacing="1" w:line="240" w:lineRule="auto"/>
        <w:rPr>
          <w:rFonts w:ascii="Open Sans" w:eastAsia="Times New Roman" w:hAnsi="Open Sans" w:cs="Helvetica"/>
          <w:color w:val="333333"/>
          <w:sz w:val="20"/>
          <w:szCs w:val="20"/>
        </w:rPr>
      </w:pPr>
      <w:r>
        <w:rPr>
          <w:rFonts w:ascii="Open Sans" w:hAnsi="Open Sans"/>
          <w:color w:val="000000"/>
          <w:sz w:val="20"/>
          <w:szCs w:val="20"/>
          <w:u w:val="single"/>
        </w:rPr>
        <w:t xml:space="preserve">Cauzele </w:t>
      </w:r>
      <w:r>
        <w:rPr>
          <w:rFonts w:ascii="Open Sans" w:hAnsi="Open Sans"/>
          <w:i/>
          <w:iCs/>
          <w:color w:val="000000"/>
          <w:sz w:val="20"/>
          <w:szCs w:val="20"/>
          <w:u w:val="single"/>
        </w:rPr>
        <w:t>Cucu</w:t>
      </w:r>
      <w:r>
        <w:rPr>
          <w:rFonts w:ascii="Open Sans" w:hAnsi="Open Sans"/>
          <w:color w:val="000000"/>
          <w:sz w:val="20"/>
          <w:szCs w:val="20"/>
          <w:u w:val="single"/>
        </w:rPr>
        <w:t xml:space="preserve"> și </w:t>
      </w:r>
      <w:r>
        <w:rPr>
          <w:rFonts w:ascii="Open Sans" w:hAnsi="Open Sans"/>
          <w:i/>
          <w:iCs/>
          <w:color w:val="000000"/>
          <w:sz w:val="20"/>
          <w:szCs w:val="20"/>
          <w:u w:val="single"/>
        </w:rPr>
        <w:t>Austrianu</w:t>
      </w:r>
      <w:r>
        <w:rPr>
          <w:rFonts w:ascii="Open Sans" w:hAnsi="Open Sans"/>
          <w:color w:val="000000"/>
          <w:sz w:val="20"/>
          <w:szCs w:val="20"/>
        </w:rPr>
        <w:t>: parchetul a examinat dacă era posibilă redeschiderea anchetelor și a concluzionat că acest fapt era împiedicat de termenul de prescripție în ceea ce privește presupusele fapte penale, care intervenise deja la data pronunțării hotărârilor Curții Europene.</w:t>
      </w:r>
    </w:p>
    <w:p w:rsidR="000504D2" w:rsidRPr="000504D2" w:rsidRDefault="000504D2" w:rsidP="000504D2">
      <w:pPr>
        <w:spacing w:before="100" w:beforeAutospacing="1" w:after="100" w:afterAutospacing="1" w:line="240" w:lineRule="auto"/>
        <w:rPr>
          <w:rFonts w:ascii="Open Sans" w:eastAsia="Times New Roman" w:hAnsi="Open Sans" w:cs="Helvetica"/>
          <w:color w:val="333333"/>
          <w:sz w:val="20"/>
          <w:szCs w:val="20"/>
        </w:rPr>
      </w:pPr>
      <w:r>
        <w:rPr>
          <w:rFonts w:ascii="Open Sans" w:hAnsi="Open Sans"/>
          <w:color w:val="000000"/>
          <w:sz w:val="20"/>
          <w:szCs w:val="20"/>
          <w:u w:val="single"/>
        </w:rPr>
        <w:t xml:space="preserve">Cauza </w:t>
      </w:r>
      <w:r>
        <w:rPr>
          <w:rFonts w:ascii="Open Sans" w:hAnsi="Open Sans"/>
          <w:i/>
          <w:iCs/>
          <w:color w:val="000000"/>
          <w:sz w:val="20"/>
          <w:szCs w:val="20"/>
          <w:u w:val="single"/>
        </w:rPr>
        <w:t>Gheorghe Dima</w:t>
      </w:r>
      <w:r>
        <w:rPr>
          <w:rFonts w:ascii="Open Sans" w:hAnsi="Open Sans"/>
          <w:color w:val="000000"/>
          <w:sz w:val="20"/>
          <w:szCs w:val="20"/>
        </w:rPr>
        <w:t xml:space="preserve">: </w:t>
      </w:r>
      <w:r>
        <w:rPr>
          <w:rFonts w:ascii="Open Sans" w:hAnsi="Open Sans"/>
          <w:color w:val="000000"/>
        </w:rPr>
        <w:t>ulterior datei pronunțării hotărârii, parchetul a încheiat ancheta și a trimis în judecată doi dintre cei șapte membri ai unității speciale de intervenție implicați în incident în fața Judecătoriei Sectorului 5 din București pentru a răspunde la acuzația de purtare abuzivă.</w:t>
      </w:r>
      <w:r>
        <w:rPr>
          <w:rFonts w:ascii="Open Sans" w:hAnsi="Open Sans"/>
          <w:color w:val="000000"/>
          <w:sz w:val="20"/>
          <w:szCs w:val="20"/>
        </w:rPr>
        <w:t xml:space="preserve"> Instanța a recalificat actele invocate a fi fost comise împotriva reclamantului drept acte de tortură și și-a declinat competența în favoarea Tribunalului București. Acest fapt a generat un conflict de competență, care urmează acum să fie soluționat de Curtea de Apel București.</w:t>
      </w:r>
    </w:p>
    <w:p w:rsidR="000504D2" w:rsidRPr="000504D2" w:rsidRDefault="000504D2" w:rsidP="000504D2">
      <w:pPr>
        <w:spacing w:before="100" w:beforeAutospacing="1" w:after="100" w:afterAutospacing="1" w:line="240" w:lineRule="auto"/>
        <w:rPr>
          <w:rFonts w:ascii="Open Sans" w:eastAsia="Times New Roman" w:hAnsi="Open Sans" w:cs="Helvetica"/>
          <w:color w:val="333333"/>
          <w:sz w:val="20"/>
          <w:szCs w:val="20"/>
        </w:rPr>
      </w:pPr>
      <w:r>
        <w:rPr>
          <w:rFonts w:ascii="Open Sans" w:hAnsi="Open Sans"/>
          <w:color w:val="000000"/>
          <w:sz w:val="20"/>
          <w:szCs w:val="20"/>
        </w:rPr>
        <w:t xml:space="preserve">2) </w:t>
      </w:r>
      <w:r>
        <w:rPr>
          <w:rFonts w:ascii="Open Sans" w:hAnsi="Open Sans"/>
          <w:i/>
          <w:iCs/>
          <w:color w:val="000000"/>
          <w:sz w:val="20"/>
          <w:szCs w:val="20"/>
        </w:rPr>
        <w:t>Încălcarea art. 3 (Condiții de detenție) și art. 3 din Protocolul nr. 1 (drepturi de vot)</w:t>
      </w:r>
      <w:r>
        <w:rPr>
          <w:rFonts w:ascii="Open Sans" w:hAnsi="Open Sans"/>
          <w:color w:val="000000"/>
          <w:sz w:val="20"/>
          <w:szCs w:val="20"/>
        </w:rPr>
        <w:t>: privarea de libertate a domnului Cucu și interzicerea automată a drepturilor sale de vot încetaseră deja la data pronunțării hotărârii.</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000000"/>
          <w:sz w:val="24"/>
          <w:szCs w:val="24"/>
          <w:u w:val="single"/>
        </w:rPr>
        <w:t>Măsuri generale</w:t>
      </w:r>
      <w:r>
        <w:rPr>
          <w:rFonts w:ascii="Times New Roman" w:hAnsi="Times New Roman"/>
          <w:i/>
          <w:iCs/>
          <w:color w:val="000000"/>
          <w:sz w:val="24"/>
          <w:szCs w:val="24"/>
        </w:rPr>
        <w:t>:</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000000"/>
          <w:sz w:val="24"/>
          <w:szCs w:val="24"/>
        </w:rPr>
        <w:t>1) Măsuri care vizează prevenirea relelor tratamente/deceselor în unitățile penitenciare</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 xml:space="preserve">a) </w:t>
      </w:r>
      <w:r>
        <w:rPr>
          <w:rFonts w:ascii="Times New Roman" w:hAnsi="Times New Roman"/>
          <w:color w:val="000000"/>
          <w:sz w:val="24"/>
          <w:szCs w:val="24"/>
          <w:u w:val="single"/>
        </w:rPr>
        <w:t>Documentarea și raportarea probelor medicale privind rele tratamente</w:t>
      </w:r>
      <w:r>
        <w:rPr>
          <w:rFonts w:ascii="Times New Roman" w:hAnsi="Times New Roman"/>
          <w:color w:val="000000"/>
          <w:sz w:val="24"/>
          <w:szCs w:val="24"/>
        </w:rPr>
        <w:t xml:space="preserve">: începând din 2006, legea garanta persoanelor aflate în detenție în unități penitenciare dreptul de a avea acces la un medic. Aceste persoane aveau dreptul să fie examinate de un medic la propria alegere, pe lângă examenele efectuate de medicii care lucrau în astfel de unități. În cazul în care se constatau semne de violență sau erau făcute acuzații de abuz, medicul penitenciarului avea obligația să înregistreze constatările și declarațiile relevante din partea persoanei private de libertate și să notifice procurorul. Persoana privată de libertate poate, în cazul în care solicită acest lucru, să fie supusă unui examen medico-legal. Orice leziuni traumatice trebuie să fie consemnate în dosarul </w:t>
      </w:r>
      <w:r>
        <w:rPr>
          <w:rFonts w:ascii="Times New Roman" w:hAnsi="Times New Roman"/>
          <w:color w:val="000000"/>
          <w:sz w:val="24"/>
          <w:szCs w:val="24"/>
        </w:rPr>
        <w:lastRenderedPageBreak/>
        <w:t>medical al persoanei private de libertate și într-un registru special. Pentru a se asigura că sunt păstrate registre adecvate, medicii legiști realizează periodic sesiuni de instruire</w:t>
      </w:r>
      <w:hyperlink r:id="rId12" w:anchor="https://search.coe.int/cm/Pages/result_details.aspx?ObjectID=0900001680739de5" w:tooltip="" w:history="1">
        <w:r>
          <w:rPr>
            <w:rFonts w:ascii="Arial" w:hAnsi="Arial"/>
            <w:color w:val="000000"/>
            <w:sz w:val="20"/>
            <w:szCs w:val="20"/>
          </w:rPr>
          <w:t>[2]</w:t>
        </w:r>
      </w:hyperlink>
      <w:r>
        <w:rPr>
          <w:rFonts w:ascii="Times New Roman" w:hAnsi="Times New Roman"/>
          <w:color w:val="000000"/>
          <w:sz w:val="24"/>
          <w:szCs w:val="24"/>
        </w:rPr>
        <w:t xml:space="preserve"> pentru personalul medical penitenciar.</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 xml:space="preserve">b) </w:t>
      </w:r>
      <w:r>
        <w:rPr>
          <w:rFonts w:ascii="Times New Roman" w:hAnsi="Times New Roman"/>
          <w:color w:val="000000"/>
          <w:sz w:val="24"/>
          <w:szCs w:val="24"/>
          <w:u w:val="single"/>
        </w:rPr>
        <w:t>Măsuri în ceea ce privește unitățile speciale de intervenție</w:t>
      </w:r>
      <w:r>
        <w:rPr>
          <w:rFonts w:ascii="Times New Roman" w:hAnsi="Times New Roman"/>
          <w:color w:val="000000"/>
          <w:sz w:val="24"/>
          <w:szCs w:val="24"/>
        </w:rPr>
        <w:t>: Penitenciarele dispun de unități cu personal specializat, chemat să intervină atunci când incidentele perturbă funcționarea normală a penitenciarului. În penitenciarele de maximă siguranță</w:t>
      </w:r>
      <w:hyperlink r:id="rId13" w:anchor="_ftn3" w:history="1">
        <w:r>
          <w:rPr>
            <w:rFonts w:ascii="Arial" w:hAnsi="Arial"/>
            <w:color w:val="000000"/>
            <w:sz w:val="20"/>
            <w:szCs w:val="20"/>
          </w:rPr>
          <w:t>[3]</w:t>
        </w:r>
      </w:hyperlink>
      <w:r>
        <w:rPr>
          <w:rFonts w:ascii="Times New Roman" w:hAnsi="Times New Roman"/>
          <w:color w:val="000000"/>
          <w:sz w:val="24"/>
          <w:szCs w:val="24"/>
        </w:rPr>
        <w:t xml:space="preserve"> sau penitenciarele care cazează peste o mie de persoane private de libertate, aceste unități efectuează, de asemenea, activități de escortare sau supraveghere în anumite cazuri [pentru detalii, a se vedea </w:t>
      </w:r>
      <w:hyperlink r:id="rId14" w:tooltip="A 1294-a reuniune (septembrie 2017) (DO) - Raportul acțiunii (28/06/2017) - Comunicarea României în cauza PREDICĂ împotriva României (Cererea nr. 42344/07) [disponibilă doar în limba engleză] " w:history="1">
        <w:r>
          <w:rPr>
            <w:rFonts w:ascii="Times New Roman" w:hAnsi="Times New Roman"/>
            <w:color w:val="000000"/>
            <w:sz w:val="24"/>
            <w:szCs w:val="24"/>
          </w:rPr>
          <w:t>DH-DD(2017)761</w:t>
        </w:r>
      </w:hyperlink>
      <w:r>
        <w:rPr>
          <w:rFonts w:ascii="Times New Roman" w:hAnsi="Times New Roman"/>
          <w:color w:val="000000"/>
          <w:sz w:val="24"/>
          <w:szCs w:val="24"/>
        </w:rPr>
        <w:t>].</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Începând din 2014, intervențiile acestor unități care implică controlul sau imobilizarea persoanelor private de libertate sunt înregistrate video de un ofițer special instruit. Administrația Națională a Penitenciarelor (ANP) primește și examinează sistematic aceste înregistrări, care sunt păstrate timp de 5 sau 25 de ani, în funcție de natura incidentului. Atunci când constată probe ale unor abateri disciplinare sau fapte penale, ANP trimite cazul către comisia de disciplină din cadrul Ministerului de Justiție sau către parchet, în funcție de caz. Din cele 79 de intervenții examinate începând cu 2014, 17 au condus la proceduri disciplinare, iar șapte au fost trimise parchetului.</w:t>
      </w:r>
    </w:p>
    <w:p w:rsid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Începând cu 2012 s-au depus eforturi pentru a se asigura că personalul acestor unități beneficiază de formare adecvată. O mare parte din formarea la locul de muncă a fost dedicată reglementărilor privind recurgerea la forță și metodele și tehnicile legale de imobilizare, precum și aplicarea în practică a principiilor referitoare la recurgerea la forță (necesitatea, gradualitatea și proporționalitatea). O componentă dedicată negocierii avea ca scop să consolideze capacitatea de a soluționa incidentele fără a recurge la forță. Raportul acțiunii prezintă detalii privind conținutul sesiunilor de formare organizate din 2013, numărul de participanți și rezultatele evaluării profesionale a personalului efectuate în 2015 și 2016.</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000000"/>
          <w:sz w:val="24"/>
          <w:szCs w:val="24"/>
        </w:rPr>
        <w:t>2) Măsuri menite să garanteze eficacitatea anchetelor:</w:t>
      </w:r>
      <w:r>
        <w:rPr>
          <w:rFonts w:ascii="Times New Roman" w:hAnsi="Times New Roman"/>
          <w:color w:val="333333"/>
          <w:sz w:val="24"/>
          <w:szCs w:val="24"/>
        </w:rPr>
        <w:t xml:space="preserve"> </w:t>
      </w:r>
      <w:r>
        <w:rPr>
          <w:rFonts w:ascii="Times New Roman" w:hAnsi="Times New Roman"/>
          <w:color w:val="000000"/>
          <w:sz w:val="24"/>
          <w:szCs w:val="24"/>
        </w:rPr>
        <w:t>în urma demilitarizării personalului penitenciar în 2004, anchetele penale în privința acestora au trecut sub competența parchetelor și instanțelor civile.</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 xml:space="preserve">În ceea ce privește </w:t>
      </w:r>
      <w:r>
        <w:rPr>
          <w:rFonts w:ascii="Times New Roman" w:hAnsi="Times New Roman"/>
          <w:i/>
          <w:iCs/>
          <w:color w:val="000000"/>
          <w:sz w:val="24"/>
          <w:szCs w:val="24"/>
        </w:rPr>
        <w:t>anchetele deceselor</w:t>
      </w:r>
      <w:r>
        <w:rPr>
          <w:rFonts w:ascii="Times New Roman" w:hAnsi="Times New Roman"/>
          <w:color w:val="000000"/>
          <w:sz w:val="24"/>
          <w:szCs w:val="24"/>
        </w:rPr>
        <w:t>, autoritățile subliniază că reglementările interne impun în prezent notificarea imediată a parchetului și a familiei persoanei decedate cu privire la toate decesele survenite într-o unitate penitenciară. O autopsie medico-legală este obligatorie în astfel de situații.</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 xml:space="preserve">În ceea ce privește </w:t>
      </w:r>
      <w:r>
        <w:rPr>
          <w:rFonts w:ascii="Times New Roman" w:hAnsi="Times New Roman"/>
          <w:i/>
          <w:iCs/>
          <w:color w:val="000000"/>
          <w:sz w:val="24"/>
          <w:szCs w:val="24"/>
        </w:rPr>
        <w:t>anchetele privind rele tratamente</w:t>
      </w:r>
      <w:r>
        <w:rPr>
          <w:rFonts w:ascii="Times New Roman" w:hAnsi="Times New Roman"/>
          <w:color w:val="000000"/>
          <w:sz w:val="24"/>
          <w:szCs w:val="24"/>
        </w:rPr>
        <w:t xml:space="preserve">, autoritățile fac referire la informațiile deja prezentate Comitetului în contextul supravegherii în grupul de cauze </w:t>
      </w:r>
      <w:r>
        <w:rPr>
          <w:rFonts w:ascii="Times New Roman" w:hAnsi="Times New Roman"/>
          <w:i/>
          <w:iCs/>
          <w:color w:val="000000"/>
          <w:sz w:val="24"/>
          <w:szCs w:val="24"/>
        </w:rPr>
        <w:t>Anghelescu Barbu (nr. 1)</w:t>
      </w:r>
      <w:r>
        <w:rPr>
          <w:rFonts w:ascii="Times New Roman" w:hAnsi="Times New Roman"/>
          <w:color w:val="000000"/>
          <w:sz w:val="24"/>
          <w:szCs w:val="24"/>
        </w:rPr>
        <w:t>. Autoritățile reamintesc că, în octombrie 2015, Parchetul de pe lângă Înalta Curte de Casație și Justiție (Parchetul General”) a adoptat o strategie menită să îmbunătățească eficacitatea anchetelor privind agenții statului, inclusiv personalul penitenciar. S-a decis ca din acel moment astfel de anchete să fie efectuate exclusiv de procurori de la parchete superioare (parchete de pe lângă tribunale și curți de apel).</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lastRenderedPageBreak/>
        <w:t>După cum prevede această strategie, șefii parchetelor superioare desemnează procurori care se ocupă în principal de acest tip de anchete. Din cele 1 900 de cauze preluate de acești procurori în 2016, 1 400 au fost închise și 15 au fost trimise instanțelor, restul fiind încă pendinte. În 2016, în contextul supravegherii punerii în aplicare a acestei strategii, Parchetul General a analizat performanța parchetelor de pe lângă două tribunale. Analiza s-a concentrat pe gradul de adecvare a anchetelor, durata lor, temeinicia soluțiilor la care s-a ajuns și comunicarea cu părțile interesate; concluziile au fost pozitive.</w:t>
      </w:r>
      <w:hyperlink r:id="rId15" w:anchor="_ftn4" w:history="1">
        <w:r>
          <w:rPr>
            <w:rFonts w:ascii="Arial" w:hAnsi="Arial"/>
            <w:color w:val="000000"/>
            <w:sz w:val="20"/>
            <w:szCs w:val="20"/>
          </w:rPr>
          <w:t>[4]</w:t>
        </w:r>
      </w:hyperlink>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000000"/>
          <w:sz w:val="24"/>
          <w:szCs w:val="24"/>
        </w:rPr>
        <w:t>3) Recurs efectiv</w:t>
      </w:r>
      <w:r>
        <w:rPr>
          <w:rFonts w:ascii="Times New Roman" w:hAnsi="Times New Roman"/>
          <w:color w:val="000000"/>
          <w:sz w:val="24"/>
          <w:szCs w:val="24"/>
        </w:rPr>
        <w:t>: autoritățile consideră că măsurile generale adoptate pentru a asigura eficacitatea anchetelor va permite victimelor să obțină despăgubiri prin intermediul unei acțiuni civile în răspundere delictuală concomitent cu procedurile penale sau consecutiv acestora, formulată împotriva persoanei responsabile sau împotriva statului.</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000000"/>
          <w:sz w:val="24"/>
          <w:szCs w:val="24"/>
        </w:rPr>
        <w:t>4) Concluzii</w:t>
      </w:r>
      <w:r>
        <w:rPr>
          <w:rFonts w:ascii="Times New Roman" w:hAnsi="Times New Roman"/>
          <w:color w:val="000000"/>
          <w:sz w:val="24"/>
          <w:szCs w:val="24"/>
        </w:rPr>
        <w:t>: autoritățile sunt de părere că măsurile adoptate permit Comitetului să înceteze supravegherea în ceea ce privește aceste cauze. Autoritățile confirmă că își vor continua eforturile de a preveni și descuraja relele tratamente în unitățile penitenciare, luând în considerare standardele internaționale, în special cele stabilite de Comitetul European pentru Prevenirea Torturii și Tratamentelor sau Pedepselor Inumane sau Degradante (CPT).</w:t>
      </w:r>
    </w:p>
    <w:p w:rsidR="000504D2" w:rsidRPr="000504D2" w:rsidRDefault="000504D2" w:rsidP="000504D2">
      <w:pPr>
        <w:spacing w:before="100" w:beforeAutospacing="1" w:after="100" w:afterAutospacing="1" w:line="240" w:lineRule="auto"/>
        <w:rPr>
          <w:rFonts w:ascii="Open Sans" w:eastAsia="Times New Roman" w:hAnsi="Open Sans" w:cs="Helvetica"/>
          <w:color w:val="333333"/>
          <w:sz w:val="20"/>
          <w:szCs w:val="20"/>
        </w:rPr>
      </w:pPr>
      <w:r>
        <w:rPr>
          <w:rFonts w:ascii="Open Sans" w:hAnsi="Open Sans"/>
          <w:b/>
          <w:bCs/>
          <w:color w:val="333333"/>
          <w:sz w:val="20"/>
          <w:szCs w:val="20"/>
        </w:rPr>
        <w:t>Analiza Secretariatului</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 xml:space="preserve">A. </w:t>
      </w:r>
      <w:r>
        <w:rPr>
          <w:rFonts w:ascii="Times New Roman" w:hAnsi="Times New Roman"/>
          <w:color w:val="000000"/>
          <w:sz w:val="24"/>
          <w:szCs w:val="24"/>
          <w:u w:val="single"/>
        </w:rPr>
        <w:t>Măsuri individuale:</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000000"/>
          <w:sz w:val="24"/>
          <w:szCs w:val="24"/>
        </w:rPr>
        <w:t>1) Încălcări procedurale ale art. 2 sau art. 3</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sz w:val="24"/>
          <w:szCs w:val="24"/>
        </w:rPr>
        <w:t xml:space="preserve">În cauza </w:t>
      </w:r>
      <w:r>
        <w:rPr>
          <w:rFonts w:ascii="Times New Roman" w:hAnsi="Times New Roman"/>
          <w:i/>
          <w:iCs/>
          <w:sz w:val="24"/>
          <w:szCs w:val="24"/>
        </w:rPr>
        <w:t>Predică</w:t>
      </w:r>
      <w:r>
        <w:rPr>
          <w:rFonts w:ascii="Times New Roman" w:hAnsi="Times New Roman"/>
          <w:sz w:val="24"/>
          <w:szCs w:val="24"/>
        </w:rPr>
        <w:t>, parchetul civil a luat măsuri de anchetă pentru a se conforma instrucțiunilor date de instanțele interne cu privire la probele care trebuie colectate și la circumstanțele care trebuie clarificate.</w:t>
      </w:r>
      <w:r>
        <w:rPr>
          <w:rFonts w:ascii="Times New Roman" w:hAnsi="Times New Roman"/>
          <w:color w:val="333333"/>
          <w:sz w:val="24"/>
          <w:szCs w:val="24"/>
        </w:rPr>
        <w:t xml:space="preserve"> În acest mod, parchetul a răspuns principalelor critici formulate de Curte în legătură cu anchetarea decesului fiului reclamantului.</w:t>
      </w:r>
      <w:hyperlink r:id="rId16" w:anchor="_ftn5" w:history="1">
        <w:r>
          <w:rPr>
            <w:rFonts w:ascii="Arial" w:hAnsi="Arial"/>
            <w:color w:val="428BCA"/>
            <w:sz w:val="20"/>
            <w:szCs w:val="20"/>
          </w:rPr>
          <w:t>[5]</w:t>
        </w:r>
      </w:hyperlink>
      <w:r>
        <w:rPr>
          <w:rFonts w:ascii="Times New Roman" w:hAnsi="Times New Roman"/>
          <w:color w:val="333333"/>
          <w:sz w:val="24"/>
          <w:szCs w:val="24"/>
        </w:rPr>
        <w:t xml:space="preserve"> Pentru moment, noile măsuri nu au permis identificarea celor responsabili de deces, dar autoritățile subliniază că orice element nou care ar putea ieși la iveală va fi cercetat în mod corespunzător. În aceste condiții, se poate considera că nicio altă măsură individuală nu este posibilă.</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Nicio altă măsură individuală nu pare să fie posibilă în cauzele </w:t>
      </w:r>
      <w:r>
        <w:rPr>
          <w:rFonts w:ascii="Times New Roman" w:hAnsi="Times New Roman"/>
          <w:i/>
          <w:iCs/>
          <w:color w:val="333333"/>
          <w:sz w:val="24"/>
          <w:szCs w:val="24"/>
        </w:rPr>
        <w:t>Austrianu</w:t>
      </w:r>
      <w:r>
        <w:rPr>
          <w:rFonts w:ascii="Times New Roman" w:hAnsi="Times New Roman"/>
          <w:color w:val="333333"/>
          <w:sz w:val="24"/>
          <w:szCs w:val="24"/>
        </w:rPr>
        <w:t xml:space="preserve"> și </w:t>
      </w:r>
      <w:r>
        <w:rPr>
          <w:rFonts w:ascii="Times New Roman" w:hAnsi="Times New Roman"/>
          <w:i/>
          <w:iCs/>
          <w:color w:val="333333"/>
          <w:sz w:val="24"/>
          <w:szCs w:val="24"/>
        </w:rPr>
        <w:t>Cucu</w:t>
      </w:r>
      <w:r>
        <w:rPr>
          <w:rFonts w:ascii="Times New Roman" w:hAnsi="Times New Roman"/>
          <w:color w:val="333333"/>
          <w:sz w:val="24"/>
          <w:szCs w:val="24"/>
        </w:rPr>
        <w:t>, în care, în urma hotărârilor Curții, parchetul a evaluat posibilitatea redeschiderii anchetelor, dar a constatat că este împiedicată de intervenția prescripției.</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În sfârșit, trebuie observat cu satisfacție că parchetul a încheiat ancheta în cauza </w:t>
      </w:r>
      <w:r>
        <w:rPr>
          <w:rFonts w:ascii="Times New Roman" w:hAnsi="Times New Roman"/>
          <w:i/>
          <w:iCs/>
          <w:color w:val="333333"/>
          <w:sz w:val="24"/>
          <w:szCs w:val="24"/>
        </w:rPr>
        <w:t>Gheorghe Dima</w:t>
      </w:r>
      <w:r>
        <w:rPr>
          <w:rFonts w:ascii="Times New Roman" w:hAnsi="Times New Roman"/>
          <w:color w:val="333333"/>
          <w:sz w:val="24"/>
          <w:szCs w:val="24"/>
        </w:rPr>
        <w:t>, și că această cauză se află în prezent în fața instanțelor naționale. Acest fapt va permite Comitetului să pună capăt supravegherii măsurilor individuale luate în această cauză.</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2) </w:t>
      </w:r>
      <w:r>
        <w:rPr>
          <w:rFonts w:ascii="Times New Roman" w:hAnsi="Times New Roman"/>
          <w:i/>
          <w:iCs/>
          <w:color w:val="333333"/>
          <w:sz w:val="24"/>
          <w:szCs w:val="24"/>
        </w:rPr>
        <w:t>Încălcarea art. 3 (Condiții de detenție) și art. 3 din Protocolul nr. 1 (drepturi de vot)</w:t>
      </w:r>
      <w:r>
        <w:rPr>
          <w:rFonts w:ascii="Times New Roman" w:hAnsi="Times New Roman"/>
          <w:color w:val="333333"/>
          <w:sz w:val="24"/>
          <w:szCs w:val="24"/>
        </w:rPr>
        <w:t>: nu este necesară nicio măsură individuală în această privință, întrucât reclamantul nu mai suferă consecințele încălcărilor constatate de Curtea Europeană.</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333333"/>
          <w:sz w:val="24"/>
          <w:szCs w:val="24"/>
        </w:rPr>
        <w:t xml:space="preserve">B. </w:t>
      </w:r>
      <w:r>
        <w:rPr>
          <w:rFonts w:ascii="Times New Roman" w:hAnsi="Times New Roman"/>
          <w:color w:val="333333"/>
          <w:sz w:val="24"/>
          <w:szCs w:val="24"/>
          <w:u w:val="single"/>
        </w:rPr>
        <w:t>Măsuri generale:</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000000"/>
          <w:sz w:val="24"/>
          <w:szCs w:val="24"/>
        </w:rPr>
        <w:lastRenderedPageBreak/>
        <w:t>1)</w:t>
      </w:r>
      <w:r>
        <w:rPr>
          <w:rFonts w:ascii="Times New Roman" w:hAnsi="Times New Roman"/>
          <w:color w:val="333333"/>
          <w:sz w:val="24"/>
          <w:szCs w:val="24"/>
        </w:rPr>
        <w:t xml:space="preserve"> </w:t>
      </w:r>
      <w:r>
        <w:rPr>
          <w:rFonts w:ascii="Times New Roman" w:hAnsi="Times New Roman"/>
          <w:i/>
          <w:iCs/>
          <w:color w:val="000000"/>
          <w:sz w:val="24"/>
          <w:szCs w:val="24"/>
        </w:rPr>
        <w:t>Prevenirea actelor contrare art. 2 și 3 care țin de responsabilitatea personalului penitenciar</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Autoritățile au făcut eforturi semnificative pentru a asigura detectarea eficientă și prevenirea relelor tratamente în unitățile penitenciare. Acestea au instituit un cadru legislativ adecvat pentru documentarea și raportarea probelor medicale privind rele tratamente și au adoptat măsuri pentru a se asigura că medicii înregistrează în mod adecvat leziunile traumatice constatate asupra persoanelor private de libertate. De asemenea, s-au asigurat că principiile care guvernează recurgerea la forță care rezultă din jurisprudența Curții Europene sunt incluse în formarea personalului din unitățile speciale de intervenție și verifică periodic eficacitatea acestor măsuri, prin supravegherea sistematică pe care ANP o exercită asupra intervențiilor acestor unități. În plus, această supraveghere permite ANP să detecteze cazurile de folosire excesivă a forței și să ia măsuri corespunzătoare pentru a-i trage la răspundere pe autorii faptelor, după cum o demonstrează acțiunile disciplinare inițiate și cauzele care au fost trimise la parchet, pe baza constatărilor făcute în cursul supravegherii.</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Desigur, există posibilități de îmbunătățire a activității medicilor din penitenciare, după cum evidențiază CPT</w:t>
      </w:r>
      <w:hyperlink r:id="rId17" w:anchor="https://search.coe.int/cm/Pages/result_details.aspx?ObjectID=0900001680739de5" w:tooltip="" w:history="1">
        <w:r>
          <w:rPr>
            <w:rFonts w:ascii="Arial" w:hAnsi="Arial"/>
            <w:color w:val="000000"/>
            <w:sz w:val="20"/>
            <w:szCs w:val="20"/>
          </w:rPr>
          <w:t>[6]</w:t>
        </w:r>
      </w:hyperlink>
      <w:r>
        <w:rPr>
          <w:rFonts w:ascii="Times New Roman" w:hAnsi="Times New Roman"/>
          <w:color w:val="000000"/>
          <w:sz w:val="24"/>
          <w:szCs w:val="24"/>
        </w:rPr>
        <w:t xml:space="preserve"> și Ombudsmanul.</w:t>
      </w:r>
      <w:hyperlink r:id="rId18" w:anchor="_ftn7" w:history="1">
        <w:r>
          <w:rPr>
            <w:rFonts w:ascii="Arial" w:hAnsi="Arial"/>
            <w:color w:val="000000"/>
            <w:sz w:val="20"/>
            <w:szCs w:val="20"/>
          </w:rPr>
          <w:t>[7]</w:t>
        </w:r>
      </w:hyperlink>
      <w:r>
        <w:rPr>
          <w:rFonts w:ascii="Times New Roman" w:hAnsi="Times New Roman"/>
          <w:color w:val="000000"/>
          <w:sz w:val="24"/>
          <w:szCs w:val="24"/>
        </w:rPr>
        <w:t xml:space="preserve"> Totuși, autoritățile s-au angajat să-și continue eforturile pentru a preveni și descuraja relele tratamente în penitenciare, ținând seama de standardele stabilite de CPT, a cărui următoare vizită periodică în România este programată să aibă loc în 2018. Prin urmare, probabil că măsurile încă necesare în acest sens vor fi adoptate rapid. În aceste condiții, Comitetul ar putea dori să ia în considerare să încheie examinarea acestei chestiuni.</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000000"/>
          <w:sz w:val="24"/>
          <w:szCs w:val="24"/>
        </w:rPr>
        <w:t>2) Eficacitatea anchetelor</w:t>
      </w:r>
      <w:r>
        <w:rPr>
          <w:rFonts w:ascii="Times New Roman" w:hAnsi="Times New Roman"/>
          <w:color w:val="000000"/>
          <w:sz w:val="24"/>
          <w:szCs w:val="24"/>
        </w:rPr>
        <w:t>: în afară de problema lipsei de independență statutară a procurorilor militari, soluționată în 2004, Curtea nu a criticat cadrul juridic care reglementează desfășurarea anchetelor, ci doar modul în care au fost efectuate cele în discuție în prezentele cauze.</w:t>
      </w:r>
      <w:hyperlink r:id="rId19" w:anchor="_ftn8" w:history="1">
        <w:r>
          <w:rPr>
            <w:rFonts w:ascii="Arial" w:hAnsi="Arial"/>
            <w:color w:val="000000"/>
            <w:sz w:val="20"/>
            <w:szCs w:val="20"/>
          </w:rPr>
          <w:t>[8]</w:t>
        </w:r>
      </w:hyperlink>
      <w:r>
        <w:rPr>
          <w:rFonts w:ascii="Times New Roman" w:hAnsi="Times New Roman"/>
          <w:color w:val="000000"/>
          <w:sz w:val="24"/>
          <w:szCs w:val="24"/>
        </w:rPr>
        <w:t xml:space="preserve"> Comitetul a examinat deja chestiuni similare în cauze privind acțiunile poliției și a concluzionat că strategia elaborată de Parchetul General pentru a spori eficacitatea anchetelor cu privire la rele tratamente le-a abordat într-un mod satisfăcător [a se vedea Rezoluția </w:t>
      </w:r>
      <w:hyperlink r:id="rId20" w:tooltip="Rezoluția CM/ResDH(2016)150 - Executarea hotărârilor Curții Europene a Drepturilor Omului în 36 de cauze împotriva României" w:history="1">
        <w:r>
          <w:rPr>
            <w:rFonts w:ascii="Times New Roman" w:hAnsi="Times New Roman"/>
            <w:color w:val="000000"/>
            <w:sz w:val="24"/>
            <w:szCs w:val="24"/>
          </w:rPr>
          <w:t>CM/ResDH(2016)150</w:t>
        </w:r>
      </w:hyperlink>
      <w:r>
        <w:rPr>
          <w:rFonts w:ascii="Times New Roman" w:hAnsi="Times New Roman"/>
          <w:color w:val="000000"/>
          <w:sz w:val="24"/>
          <w:szCs w:val="24"/>
        </w:rPr>
        <w:t xml:space="preserve"> adoptată în cursul celei de-a 1259-a reuniuni (iunie 2016) în grupul </w:t>
      </w:r>
      <w:r>
        <w:rPr>
          <w:rFonts w:ascii="Times New Roman" w:hAnsi="Times New Roman"/>
          <w:i/>
          <w:iCs/>
          <w:color w:val="000000"/>
          <w:sz w:val="24"/>
          <w:szCs w:val="24"/>
        </w:rPr>
        <w:t>Anghelescu Barbu (nr. 1)</w:t>
      </w:r>
      <w:r>
        <w:rPr>
          <w:rFonts w:ascii="Times New Roman" w:hAnsi="Times New Roman"/>
          <w:color w:val="000000"/>
          <w:sz w:val="24"/>
          <w:szCs w:val="24"/>
        </w:rPr>
        <w:t>].</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color w:val="000000"/>
          <w:sz w:val="24"/>
          <w:szCs w:val="24"/>
        </w:rPr>
        <w:t>Informațiile actualizate indică faptul că această strategie este pusă în aplicare pe deplin și că monitorizarea introdusă de Parchetul General asupra performanței procurorilor responsabili cu aceste anchete este operațională. Măsurile adoptate, precum și indicatorii privind impactul lor pozitiv până în prezent permit Comitetului să încheie examinarea acestei chestiuni.</w:t>
      </w:r>
    </w:p>
    <w:p w:rsidR="000504D2" w:rsidRPr="000504D2" w:rsidRDefault="000504D2" w:rsidP="000504D2">
      <w:pPr>
        <w:spacing w:before="100" w:beforeAutospacing="1" w:after="100" w:afterAutospacing="1" w:line="240" w:lineRule="auto"/>
        <w:rPr>
          <w:rFonts w:ascii="Times New Roman" w:eastAsia="Times New Roman" w:hAnsi="Times New Roman" w:cs="Times New Roman"/>
          <w:color w:val="333333"/>
          <w:sz w:val="24"/>
          <w:szCs w:val="24"/>
        </w:rPr>
      </w:pPr>
      <w:r>
        <w:rPr>
          <w:rFonts w:ascii="Times New Roman" w:hAnsi="Times New Roman"/>
          <w:i/>
          <w:iCs/>
          <w:color w:val="000000"/>
          <w:sz w:val="24"/>
          <w:szCs w:val="24"/>
        </w:rPr>
        <w:t>3) Recurs efectiv</w:t>
      </w:r>
      <w:r>
        <w:rPr>
          <w:rFonts w:ascii="Times New Roman" w:hAnsi="Times New Roman"/>
          <w:color w:val="000000"/>
          <w:sz w:val="24"/>
          <w:szCs w:val="24"/>
        </w:rPr>
        <w:t>: având în vedere legătura stabilită de Curte între eficacitatea anchetelor și cea a căilor de atac disponibile în temeiul dreptului intern pentru a obține despăgubiri, nu pare să fie necesară nicio măsură specifică în acest sens.</w:t>
      </w:r>
    </w:p>
    <w:p w:rsidR="000504D2" w:rsidRPr="000504D2" w:rsidRDefault="00B77EF8" w:rsidP="000504D2">
      <w:pPr>
        <w:spacing w:before="300" w:after="300" w:line="240" w:lineRule="auto"/>
        <w:rPr>
          <w:rFonts w:ascii="Open Sans" w:eastAsia="Times New Roman" w:hAnsi="Open Sans" w:cs="Helvetica"/>
          <w:color w:val="333333"/>
          <w:sz w:val="20"/>
          <w:szCs w:val="20"/>
        </w:rPr>
      </w:pPr>
      <w:r>
        <w:rPr>
          <w:rFonts w:ascii="Open Sans" w:hAnsi="Open Sans"/>
          <w:color w:val="333333"/>
          <w:sz w:val="20"/>
          <w:szCs w:val="20"/>
        </w:rPr>
        <w:pict>
          <v:rect id="_x0000_i1025" style="width:154.45pt;height:0" o:hrpct="330" o:hrstd="t" o:hr="t" fillcolor="#a0a0a0" stroked="f"/>
        </w:pict>
      </w:r>
    </w:p>
    <w:p w:rsidR="000504D2" w:rsidRPr="000504D2" w:rsidRDefault="00B77EF8" w:rsidP="000504D2">
      <w:pPr>
        <w:spacing w:before="100" w:beforeAutospacing="1" w:after="100" w:afterAutospacing="1" w:line="240" w:lineRule="auto"/>
        <w:rPr>
          <w:rFonts w:ascii="Open Sans" w:eastAsia="Times New Roman" w:hAnsi="Open Sans" w:cs="Helvetica"/>
          <w:color w:val="333333"/>
          <w:sz w:val="20"/>
          <w:szCs w:val="20"/>
        </w:rPr>
      </w:pPr>
      <w:hyperlink r:id="rId21" w:anchor="_ftnref1" w:history="1">
        <w:r w:rsidR="000504D2">
          <w:rPr>
            <w:rFonts w:ascii="Arial" w:hAnsi="Arial"/>
            <w:color w:val="428BCA"/>
            <w:sz w:val="16"/>
            <w:szCs w:val="16"/>
          </w:rPr>
          <w:t>[1]</w:t>
        </w:r>
      </w:hyperlink>
      <w:r w:rsidR="000504D2">
        <w:rPr>
          <w:rFonts w:ascii="Open Sans" w:hAnsi="Open Sans"/>
          <w:color w:val="333333"/>
          <w:sz w:val="20"/>
          <w:szCs w:val="20"/>
        </w:rPr>
        <w:t xml:space="preserve"> Măsurile generale necesare pentru a remedia problemele aflate la originea aceste încălcări sunt sau au fost examinate în grupurile de</w:t>
      </w:r>
      <w:r w:rsidR="000504D2">
        <w:rPr>
          <w:rFonts w:ascii="Open Sans" w:hAnsi="Open Sans"/>
          <w:color w:val="000000"/>
          <w:sz w:val="20"/>
          <w:szCs w:val="20"/>
        </w:rPr>
        <w:t xml:space="preserve"> cauze </w:t>
      </w:r>
      <w:r w:rsidR="000504D2">
        <w:rPr>
          <w:rFonts w:ascii="Open Sans" w:hAnsi="Open Sans"/>
          <w:i/>
          <w:iCs/>
          <w:color w:val="000000"/>
          <w:sz w:val="20"/>
          <w:szCs w:val="20"/>
        </w:rPr>
        <w:t>Braga</w:t>
      </w:r>
      <w:bookmarkStart w:id="1" w:name="_GoBack"/>
      <w:bookmarkEnd w:id="1"/>
      <w:r w:rsidR="000504D2">
        <w:rPr>
          <w:rFonts w:ascii="Open Sans" w:hAnsi="Open Sans"/>
          <w:i/>
          <w:iCs/>
          <w:color w:val="000000"/>
          <w:sz w:val="20"/>
          <w:szCs w:val="20"/>
        </w:rPr>
        <w:t>direanu</w:t>
      </w:r>
      <w:r w:rsidR="000504D2">
        <w:rPr>
          <w:rFonts w:ascii="Open Sans" w:hAnsi="Open Sans"/>
          <w:color w:val="000000"/>
          <w:sz w:val="20"/>
          <w:szCs w:val="20"/>
        </w:rPr>
        <w:t xml:space="preserve"> respectiv </w:t>
      </w:r>
      <w:r w:rsidR="000504D2">
        <w:rPr>
          <w:rFonts w:ascii="Open Sans" w:hAnsi="Open Sans"/>
          <w:i/>
          <w:iCs/>
          <w:color w:val="000000"/>
          <w:sz w:val="20"/>
          <w:szCs w:val="20"/>
        </w:rPr>
        <w:t>Calmanovici</w:t>
      </w:r>
      <w:r w:rsidR="000504D2">
        <w:rPr>
          <w:rFonts w:ascii="Open Sans" w:hAnsi="Open Sans"/>
          <w:color w:val="333333"/>
          <w:sz w:val="20"/>
          <w:szCs w:val="20"/>
        </w:rPr>
        <w:t xml:space="preserve"> [</w:t>
      </w:r>
      <w:hyperlink r:id="rId22" w:tooltip="Rezoluția CM/ResDH(2014)13 - Executarea hotărârilor Curții Europene a Drepturilor Omului în opt cauze împotriva României" w:history="1">
        <w:r w:rsidR="000504D2">
          <w:rPr>
            <w:rFonts w:ascii="Open Sans" w:hAnsi="Open Sans"/>
            <w:color w:val="428BCA"/>
            <w:sz w:val="20"/>
            <w:szCs w:val="20"/>
          </w:rPr>
          <w:t>CM/ResDH(2014)13</w:t>
        </w:r>
      </w:hyperlink>
      <w:r w:rsidR="000504D2">
        <w:rPr>
          <w:rFonts w:ascii="Open Sans" w:hAnsi="Open Sans"/>
          <w:color w:val="333333"/>
          <w:sz w:val="20"/>
          <w:szCs w:val="20"/>
        </w:rPr>
        <w:t xml:space="preserve">]. </w:t>
      </w:r>
      <w:r w:rsidR="000504D2">
        <w:rPr>
          <w:rFonts w:ascii="Open Sans" w:hAnsi="Open Sans"/>
          <w:color w:val="000000"/>
          <w:sz w:val="20"/>
          <w:szCs w:val="20"/>
        </w:rPr>
        <w:t> </w:t>
      </w:r>
    </w:p>
    <w:p w:rsidR="000504D2" w:rsidRPr="000504D2" w:rsidRDefault="00B77EF8" w:rsidP="000504D2">
      <w:pPr>
        <w:spacing w:before="100" w:beforeAutospacing="1" w:after="100" w:afterAutospacing="1" w:line="240" w:lineRule="auto"/>
        <w:rPr>
          <w:rFonts w:ascii="Open Sans" w:eastAsia="Times New Roman" w:hAnsi="Open Sans" w:cs="Helvetica"/>
          <w:color w:val="333333"/>
          <w:sz w:val="20"/>
          <w:szCs w:val="20"/>
        </w:rPr>
      </w:pPr>
      <w:hyperlink r:id="rId23" w:anchor="_ftnref2" w:history="1">
        <w:r w:rsidR="000504D2">
          <w:rPr>
            <w:rFonts w:ascii="Arial" w:hAnsi="Arial"/>
            <w:color w:val="428BCA"/>
            <w:sz w:val="16"/>
            <w:szCs w:val="16"/>
          </w:rPr>
          <w:t>[2]</w:t>
        </w:r>
      </w:hyperlink>
      <w:r w:rsidR="000504D2">
        <w:rPr>
          <w:rFonts w:ascii="Open Sans" w:hAnsi="Open Sans"/>
          <w:color w:val="333333"/>
          <w:sz w:val="20"/>
          <w:szCs w:val="20"/>
        </w:rPr>
        <w:t xml:space="preserve"> Pe baza unui protocol încheiat între ANF și Institutul Național de Medicină Legală „Mina Minovici” la sfârșitul lui 2015.</w:t>
      </w:r>
    </w:p>
    <w:p w:rsidR="000504D2" w:rsidRPr="000504D2" w:rsidRDefault="00B77EF8" w:rsidP="000504D2">
      <w:pPr>
        <w:spacing w:before="100" w:beforeAutospacing="1" w:after="100" w:afterAutospacing="1" w:line="240" w:lineRule="auto"/>
        <w:rPr>
          <w:rFonts w:ascii="Open Sans" w:eastAsia="Times New Roman" w:hAnsi="Open Sans" w:cs="Helvetica"/>
          <w:color w:val="333333"/>
          <w:sz w:val="20"/>
          <w:szCs w:val="20"/>
        </w:rPr>
      </w:pPr>
      <w:hyperlink r:id="rId24" w:anchor="_ftnref3" w:history="1">
        <w:r w:rsidR="000504D2">
          <w:rPr>
            <w:rFonts w:ascii="Arial" w:hAnsi="Arial"/>
            <w:color w:val="428BCA"/>
            <w:sz w:val="16"/>
            <w:szCs w:val="16"/>
          </w:rPr>
          <w:t>[3]</w:t>
        </w:r>
      </w:hyperlink>
      <w:r w:rsidR="000504D2">
        <w:rPr>
          <w:rFonts w:ascii="Open Sans" w:hAnsi="Open Sans"/>
          <w:color w:val="333333"/>
          <w:sz w:val="20"/>
          <w:szCs w:val="20"/>
        </w:rPr>
        <w:t xml:space="preserve"> Este vorba despre penitenciare care cazează persoane private de libertate plasate sub regim de maximă siguranță și regim închis.</w:t>
      </w:r>
    </w:p>
    <w:p w:rsidR="000504D2" w:rsidRPr="000504D2" w:rsidRDefault="00B77EF8" w:rsidP="000504D2">
      <w:pPr>
        <w:spacing w:before="100" w:beforeAutospacing="1" w:after="100" w:afterAutospacing="1" w:line="240" w:lineRule="auto"/>
        <w:rPr>
          <w:rFonts w:ascii="Open Sans" w:eastAsia="Times New Roman" w:hAnsi="Open Sans" w:cs="Helvetica"/>
          <w:color w:val="333333"/>
          <w:sz w:val="20"/>
          <w:szCs w:val="20"/>
        </w:rPr>
      </w:pPr>
      <w:hyperlink r:id="rId25" w:anchor="_ftnref4" w:history="1">
        <w:r w:rsidR="000504D2">
          <w:rPr>
            <w:rFonts w:ascii="Arial" w:hAnsi="Arial"/>
            <w:color w:val="428BCA"/>
            <w:sz w:val="16"/>
            <w:szCs w:val="16"/>
          </w:rPr>
          <w:t>[4]</w:t>
        </w:r>
      </w:hyperlink>
      <w:r w:rsidR="000504D2">
        <w:rPr>
          <w:rFonts w:ascii="Open Sans" w:hAnsi="Open Sans"/>
          <w:color w:val="333333"/>
          <w:sz w:val="20"/>
          <w:szCs w:val="20"/>
        </w:rPr>
        <w:t xml:space="preserve"> Din 150 de cauze preluate de aceste parchete, 80 au fost clasate, dar numai câteva din aceste decizii au fost contestate în instanță; în ceea ce privește cele 69 de anchete care erau în desfășurare la momentul controlului, durata acestora era mai mică de doi ani.</w:t>
      </w:r>
    </w:p>
    <w:p w:rsidR="000504D2" w:rsidRPr="000504D2" w:rsidRDefault="00B77EF8" w:rsidP="000504D2">
      <w:pPr>
        <w:spacing w:before="100" w:beforeAutospacing="1" w:after="100" w:afterAutospacing="1" w:line="240" w:lineRule="auto"/>
        <w:rPr>
          <w:rFonts w:ascii="Open Sans" w:eastAsia="Times New Roman" w:hAnsi="Open Sans" w:cs="Helvetica"/>
          <w:color w:val="333333"/>
          <w:sz w:val="20"/>
          <w:szCs w:val="20"/>
        </w:rPr>
      </w:pPr>
      <w:hyperlink r:id="rId26" w:anchor="_ftnref5" w:history="1">
        <w:r w:rsidR="000504D2">
          <w:rPr>
            <w:rFonts w:ascii="Arial" w:hAnsi="Arial"/>
            <w:color w:val="428BCA"/>
            <w:sz w:val="16"/>
            <w:szCs w:val="16"/>
          </w:rPr>
          <w:t>[5]</w:t>
        </w:r>
      </w:hyperlink>
      <w:r w:rsidR="000504D2">
        <w:rPr>
          <w:rFonts w:ascii="Open Sans" w:hAnsi="Open Sans"/>
          <w:color w:val="333333"/>
          <w:sz w:val="20"/>
          <w:szCs w:val="20"/>
        </w:rPr>
        <w:t xml:space="preserve"> Curtea a criticat, de asemenea, durata excesivă, implicarea procurorilor militari în cursul primelor etape ale anchetei și faptul că autoritățile de anchetă nu au asigurat în mod adecvat controlul publicului și protecția interesului rudelor victimei de a participa la anchetă.</w:t>
      </w:r>
    </w:p>
    <w:p w:rsidR="000504D2" w:rsidRPr="000504D2" w:rsidRDefault="00B77EF8" w:rsidP="000504D2">
      <w:pPr>
        <w:spacing w:before="100" w:beforeAutospacing="1" w:after="100" w:afterAutospacing="1" w:line="240" w:lineRule="auto"/>
        <w:rPr>
          <w:rFonts w:ascii="Open Sans" w:eastAsia="Times New Roman" w:hAnsi="Open Sans" w:cs="Helvetica"/>
          <w:color w:val="333333"/>
          <w:sz w:val="20"/>
          <w:szCs w:val="20"/>
        </w:rPr>
      </w:pPr>
      <w:hyperlink r:id="rId27" w:anchor="_ftnref6" w:history="1">
        <w:r w:rsidR="000504D2">
          <w:rPr>
            <w:rFonts w:ascii="Arial" w:hAnsi="Arial"/>
            <w:color w:val="428BCA"/>
            <w:sz w:val="16"/>
            <w:szCs w:val="16"/>
          </w:rPr>
          <w:t>[6]</w:t>
        </w:r>
      </w:hyperlink>
      <w:r w:rsidR="000504D2">
        <w:rPr>
          <w:rFonts w:ascii="Open Sans" w:hAnsi="Open Sans"/>
          <w:color w:val="333333"/>
          <w:sz w:val="20"/>
          <w:szCs w:val="20"/>
        </w:rPr>
        <w:t xml:space="preserve"> Aceste aspecte priveau consemnarea leziunilor traumatice și raportarea constatărilor respective de către medicii din penitenciare către parchet [a se vedea CPT/Inf(2015) 31].</w:t>
      </w:r>
    </w:p>
    <w:p w:rsidR="000504D2" w:rsidRPr="000504D2" w:rsidRDefault="00B77EF8" w:rsidP="000504D2">
      <w:pPr>
        <w:spacing w:before="100" w:beforeAutospacing="1" w:after="100" w:afterAutospacing="1" w:line="240" w:lineRule="auto"/>
        <w:rPr>
          <w:rFonts w:ascii="Open Sans" w:eastAsia="Times New Roman" w:hAnsi="Open Sans" w:cs="Helvetica"/>
          <w:color w:val="333333"/>
          <w:sz w:val="20"/>
          <w:szCs w:val="20"/>
        </w:rPr>
      </w:pPr>
      <w:hyperlink r:id="rId28" w:anchor="_ftnref7" w:history="1">
        <w:r w:rsidR="000504D2">
          <w:rPr>
            <w:rFonts w:ascii="Arial" w:hAnsi="Arial"/>
            <w:color w:val="428BCA"/>
            <w:sz w:val="16"/>
            <w:szCs w:val="16"/>
          </w:rPr>
          <w:t>[7]</w:t>
        </w:r>
      </w:hyperlink>
      <w:r w:rsidR="000504D2">
        <w:rPr>
          <w:rFonts w:ascii="Open Sans" w:hAnsi="Open Sans"/>
          <w:color w:val="333333"/>
          <w:sz w:val="20"/>
          <w:szCs w:val="20"/>
        </w:rPr>
        <w:t xml:space="preserve"> În calitatea sa de Mecanism Național de Prevenire în temeiul OPCAT. Rapoartele ulterioare vizitelor în locurile în care se execută pedepse privative de libertate sunt disponibile la adresa </w:t>
      </w:r>
      <w:hyperlink r:id="rId29" w:history="1">
        <w:r w:rsidR="000504D2">
          <w:rPr>
            <w:rFonts w:ascii="Open Sans" w:hAnsi="Open Sans"/>
            <w:color w:val="428BCA"/>
            <w:sz w:val="20"/>
            <w:szCs w:val="20"/>
          </w:rPr>
          <w:t>www.avp.ro</w:t>
        </w:r>
      </w:hyperlink>
      <w:r w:rsidR="000504D2">
        <w:rPr>
          <w:rFonts w:ascii="Open Sans" w:hAnsi="Open Sans"/>
          <w:color w:val="333333"/>
          <w:sz w:val="20"/>
          <w:szCs w:val="20"/>
        </w:rPr>
        <w:t>. În cursul vizitelor efectuate în 2016, Ombudsmanul a constatat că trei penitenciare (Poarta Albă, Ploiești și Târgșor) nu păstrau registre pentru consemnarea leziunilor traumatice. Penitenciarul Poarta Albă a confirmat ulterior introducerea unui astfel de registru.</w:t>
      </w:r>
    </w:p>
    <w:p w:rsidR="000504D2" w:rsidRPr="000504D2" w:rsidRDefault="00B77EF8" w:rsidP="000504D2">
      <w:pPr>
        <w:spacing w:before="100" w:beforeAutospacing="1" w:after="100" w:afterAutospacing="1" w:line="240" w:lineRule="auto"/>
        <w:rPr>
          <w:rFonts w:ascii="Open Sans" w:eastAsia="Times New Roman" w:hAnsi="Open Sans" w:cs="Helvetica"/>
          <w:color w:val="333333"/>
          <w:sz w:val="20"/>
          <w:szCs w:val="20"/>
        </w:rPr>
      </w:pPr>
      <w:hyperlink r:id="rId30" w:anchor="_ftnref8" w:history="1">
        <w:r w:rsidR="000504D2">
          <w:rPr>
            <w:rFonts w:ascii="Arial" w:hAnsi="Arial"/>
            <w:color w:val="428BCA"/>
            <w:sz w:val="16"/>
            <w:szCs w:val="16"/>
          </w:rPr>
          <w:t>[8]</w:t>
        </w:r>
      </w:hyperlink>
      <w:r w:rsidR="000504D2">
        <w:rPr>
          <w:rFonts w:ascii="Open Sans" w:hAnsi="Open Sans"/>
          <w:color w:val="333333"/>
          <w:sz w:val="20"/>
          <w:szCs w:val="20"/>
        </w:rPr>
        <w:t xml:space="preserve"> Durata excesivă, deficiențe în colectarea și aprecierea probelor, nerespectarea de către parchet a instrucțiunilor legate de desfășurarea anchetei, faptul că autoritățile de anchetă nu au asigurat în mod adecvat controlul public și protecția interesului rudelor victimei de a participa la anchetă.</w:t>
      </w:r>
    </w:p>
    <w:p w:rsidR="00E40793" w:rsidRDefault="00B77EF8"/>
    <w:sectPr w:rsidR="00E407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Open Sans">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4D2"/>
    <w:rsid w:val="000504D2"/>
    <w:rsid w:val="00195D18"/>
    <w:rsid w:val="00267E17"/>
    <w:rsid w:val="002B47AE"/>
    <w:rsid w:val="002F6C47"/>
    <w:rsid w:val="0032360D"/>
    <w:rsid w:val="00574E6E"/>
    <w:rsid w:val="00B77EF8"/>
    <w:rsid w:val="00BC6830"/>
    <w:rsid w:val="00EF0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B70C4FE7-D68B-4D35-B6D4-4ED599AD9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504D2"/>
    <w:rPr>
      <w:b/>
      <w:bCs/>
    </w:rPr>
  </w:style>
  <w:style w:type="character" w:styleId="Emphasis">
    <w:name w:val="Emphasis"/>
    <w:basedOn w:val="DefaultParagraphFont"/>
    <w:uiPriority w:val="20"/>
    <w:qFormat/>
    <w:rsid w:val="000504D2"/>
    <w:rPr>
      <w:i/>
      <w:iCs/>
    </w:rPr>
  </w:style>
  <w:style w:type="character" w:customStyle="1" w:styleId="vsmall">
    <w:name w:val="vsmall"/>
    <w:basedOn w:val="DefaultParagraphFont"/>
    <w:rsid w:val="000504D2"/>
  </w:style>
  <w:style w:type="paragraph" w:customStyle="1" w:styleId="coelignes">
    <w:name w:val="coelignes"/>
    <w:basedOn w:val="Normal"/>
    <w:rsid w:val="000504D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504D2"/>
    <w:pPr>
      <w:spacing w:before="100" w:beforeAutospacing="1" w:after="100" w:afterAutospacing="1" w:line="240" w:lineRule="auto"/>
    </w:pPr>
    <w:rPr>
      <w:rFonts w:ascii="Times New Roman" w:eastAsia="Times New Roman" w:hAnsi="Times New Roman" w:cs="Times New Roman"/>
      <w:sz w:val="24"/>
      <w:szCs w:val="24"/>
    </w:rPr>
  </w:style>
  <w:style w:type="character" w:styleId="FootnoteReference">
    <w:name w:val="footnote reference"/>
    <w:basedOn w:val="DefaultParagraphFont"/>
    <w:uiPriority w:val="99"/>
    <w:semiHidden/>
    <w:unhideWhenUsed/>
    <w:rsid w:val="000504D2"/>
  </w:style>
  <w:style w:type="paragraph" w:styleId="FootnoteText">
    <w:name w:val="footnote text"/>
    <w:basedOn w:val="Normal"/>
    <w:link w:val="FootnoteTextChar"/>
    <w:uiPriority w:val="99"/>
    <w:semiHidden/>
    <w:unhideWhenUsed/>
    <w:rsid w:val="000504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0504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77E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381088">
      <w:bodyDiv w:val="1"/>
      <w:marLeft w:val="0"/>
      <w:marRight w:val="0"/>
      <w:marTop w:val="0"/>
      <w:marBottom w:val="0"/>
      <w:divBdr>
        <w:top w:val="none" w:sz="0" w:space="0" w:color="auto"/>
        <w:left w:val="none" w:sz="0" w:space="0" w:color="auto"/>
        <w:bottom w:val="none" w:sz="0" w:space="0" w:color="auto"/>
        <w:right w:val="none" w:sz="0" w:space="0" w:color="auto"/>
      </w:divBdr>
      <w:divsChild>
        <w:div w:id="1748454278">
          <w:marLeft w:val="0"/>
          <w:marRight w:val="0"/>
          <w:marTop w:val="0"/>
          <w:marBottom w:val="0"/>
          <w:divBdr>
            <w:top w:val="none" w:sz="0" w:space="0" w:color="auto"/>
            <w:left w:val="none" w:sz="0" w:space="0" w:color="auto"/>
            <w:bottom w:val="none" w:sz="0" w:space="0" w:color="auto"/>
            <w:right w:val="none" w:sz="0" w:space="0" w:color="auto"/>
          </w:divBdr>
          <w:divsChild>
            <w:div w:id="97605811">
              <w:marLeft w:val="0"/>
              <w:marRight w:val="0"/>
              <w:marTop w:val="0"/>
              <w:marBottom w:val="0"/>
              <w:divBdr>
                <w:top w:val="none" w:sz="0" w:space="0" w:color="auto"/>
                <w:left w:val="none" w:sz="0" w:space="0" w:color="auto"/>
                <w:bottom w:val="none" w:sz="0" w:space="0" w:color="auto"/>
                <w:right w:val="none" w:sz="0" w:space="0" w:color="auto"/>
              </w:divBdr>
              <w:divsChild>
                <w:div w:id="1956595103">
                  <w:marLeft w:val="0"/>
                  <w:marRight w:val="0"/>
                  <w:marTop w:val="0"/>
                  <w:marBottom w:val="0"/>
                  <w:divBdr>
                    <w:top w:val="none" w:sz="0" w:space="0" w:color="auto"/>
                    <w:left w:val="none" w:sz="0" w:space="0" w:color="auto"/>
                    <w:bottom w:val="none" w:sz="0" w:space="0" w:color="auto"/>
                    <w:right w:val="none" w:sz="0" w:space="0" w:color="auto"/>
                  </w:divBdr>
                  <w:divsChild>
                    <w:div w:id="292902641">
                      <w:marLeft w:val="0"/>
                      <w:marRight w:val="0"/>
                      <w:marTop w:val="0"/>
                      <w:marBottom w:val="0"/>
                      <w:divBdr>
                        <w:top w:val="none" w:sz="0" w:space="0" w:color="auto"/>
                        <w:left w:val="none" w:sz="0" w:space="0" w:color="auto"/>
                        <w:bottom w:val="none" w:sz="0" w:space="0" w:color="auto"/>
                        <w:right w:val="none" w:sz="0" w:space="0" w:color="auto"/>
                      </w:divBdr>
                      <w:divsChild>
                        <w:div w:id="2022774849">
                          <w:marLeft w:val="0"/>
                          <w:marRight w:val="0"/>
                          <w:marTop w:val="0"/>
                          <w:marBottom w:val="0"/>
                          <w:divBdr>
                            <w:top w:val="none" w:sz="0" w:space="0" w:color="auto"/>
                            <w:left w:val="none" w:sz="0" w:space="0" w:color="auto"/>
                            <w:bottom w:val="none" w:sz="0" w:space="0" w:color="auto"/>
                            <w:right w:val="none" w:sz="0" w:space="0" w:color="auto"/>
                          </w:divBdr>
                          <w:divsChild>
                            <w:div w:id="824709468">
                              <w:marLeft w:val="0"/>
                              <w:marRight w:val="0"/>
                              <w:marTop w:val="0"/>
                              <w:marBottom w:val="0"/>
                              <w:divBdr>
                                <w:top w:val="none" w:sz="0" w:space="0" w:color="auto"/>
                                <w:left w:val="none" w:sz="0" w:space="0" w:color="auto"/>
                                <w:bottom w:val="none" w:sz="0" w:space="0" w:color="auto"/>
                                <w:right w:val="none" w:sz="0" w:space="0" w:color="auto"/>
                              </w:divBdr>
                              <w:divsChild>
                                <w:div w:id="6909277">
                                  <w:marLeft w:val="-225"/>
                                  <w:marRight w:val="-225"/>
                                  <w:marTop w:val="0"/>
                                  <w:marBottom w:val="0"/>
                                  <w:divBdr>
                                    <w:top w:val="none" w:sz="0" w:space="0" w:color="auto"/>
                                    <w:left w:val="none" w:sz="0" w:space="0" w:color="auto"/>
                                    <w:bottom w:val="none" w:sz="0" w:space="0" w:color="auto"/>
                                    <w:right w:val="none" w:sz="0" w:space="0" w:color="auto"/>
                                  </w:divBdr>
                                  <w:divsChild>
                                    <w:div w:id="36590554">
                                      <w:marLeft w:val="0"/>
                                      <w:marRight w:val="0"/>
                                      <w:marTop w:val="0"/>
                                      <w:marBottom w:val="0"/>
                                      <w:divBdr>
                                        <w:top w:val="none" w:sz="0" w:space="0" w:color="auto"/>
                                        <w:left w:val="none" w:sz="0" w:space="0" w:color="auto"/>
                                        <w:bottom w:val="none" w:sz="0" w:space="0" w:color="auto"/>
                                        <w:right w:val="none" w:sz="0" w:space="0" w:color="auto"/>
                                      </w:divBdr>
                                      <w:divsChild>
                                        <w:div w:id="114443636">
                                          <w:marLeft w:val="0"/>
                                          <w:marRight w:val="0"/>
                                          <w:marTop w:val="0"/>
                                          <w:marBottom w:val="0"/>
                                          <w:divBdr>
                                            <w:top w:val="none" w:sz="0" w:space="0" w:color="auto"/>
                                            <w:left w:val="none" w:sz="0" w:space="0" w:color="auto"/>
                                            <w:bottom w:val="none" w:sz="0" w:space="0" w:color="auto"/>
                                            <w:right w:val="none" w:sz="0" w:space="0" w:color="auto"/>
                                          </w:divBdr>
                                          <w:divsChild>
                                            <w:div w:id="1505128716">
                                              <w:marLeft w:val="0"/>
                                              <w:marRight w:val="0"/>
                                              <w:marTop w:val="0"/>
                                              <w:marBottom w:val="0"/>
                                              <w:divBdr>
                                                <w:top w:val="single" w:sz="6" w:space="0" w:color="EEEEEE"/>
                                                <w:left w:val="single" w:sz="6" w:space="0" w:color="EEEEEE"/>
                                                <w:bottom w:val="single" w:sz="6" w:space="0" w:color="EEEEEE"/>
                                                <w:right w:val="single" w:sz="6" w:space="0" w:color="EEEEEE"/>
                                              </w:divBdr>
                                              <w:divsChild>
                                                <w:div w:id="429206920">
                                                  <w:marLeft w:val="0"/>
                                                  <w:marRight w:val="0"/>
                                                  <w:marTop w:val="0"/>
                                                  <w:marBottom w:val="0"/>
                                                  <w:divBdr>
                                                    <w:top w:val="none" w:sz="0" w:space="0" w:color="auto"/>
                                                    <w:left w:val="none" w:sz="0" w:space="0" w:color="auto"/>
                                                    <w:bottom w:val="none" w:sz="0" w:space="0" w:color="auto"/>
                                                    <w:right w:val="none" w:sz="0" w:space="0" w:color="auto"/>
                                                  </w:divBdr>
                                                  <w:divsChild>
                                                    <w:div w:id="1395817862">
                                                      <w:marLeft w:val="0"/>
                                                      <w:marRight w:val="0"/>
                                                      <w:marTop w:val="0"/>
                                                      <w:marBottom w:val="0"/>
                                                      <w:divBdr>
                                                        <w:top w:val="none" w:sz="0" w:space="0" w:color="auto"/>
                                                        <w:left w:val="none" w:sz="0" w:space="0" w:color="auto"/>
                                                        <w:bottom w:val="none" w:sz="0" w:space="0" w:color="auto"/>
                                                        <w:right w:val="none" w:sz="0" w:space="0" w:color="auto"/>
                                                      </w:divBdr>
                                                      <w:divsChild>
                                                        <w:div w:id="305741797">
                                                          <w:marLeft w:val="0"/>
                                                          <w:marRight w:val="0"/>
                                                          <w:marTop w:val="0"/>
                                                          <w:marBottom w:val="0"/>
                                                          <w:divBdr>
                                                            <w:top w:val="none" w:sz="0" w:space="0" w:color="auto"/>
                                                            <w:left w:val="none" w:sz="0" w:space="0" w:color="auto"/>
                                                            <w:bottom w:val="none" w:sz="0" w:space="0" w:color="auto"/>
                                                            <w:right w:val="none" w:sz="0" w:space="0" w:color="auto"/>
                                                          </w:divBdr>
                                                          <w:divsChild>
                                                            <w:div w:id="514223509">
                                                              <w:marLeft w:val="0"/>
                                                              <w:marRight w:val="0"/>
                                                              <w:marTop w:val="0"/>
                                                              <w:marBottom w:val="0"/>
                                                              <w:divBdr>
                                                                <w:top w:val="none" w:sz="0" w:space="0" w:color="auto"/>
                                                                <w:left w:val="none" w:sz="0" w:space="0" w:color="auto"/>
                                                                <w:bottom w:val="none" w:sz="0" w:space="0" w:color="auto"/>
                                                                <w:right w:val="none" w:sz="0" w:space="0" w:color="auto"/>
                                                              </w:divBdr>
                                                              <w:divsChild>
                                                                <w:div w:id="1852135314">
                                                                  <w:marLeft w:val="0"/>
                                                                  <w:marRight w:val="0"/>
                                                                  <w:marTop w:val="0"/>
                                                                  <w:marBottom w:val="0"/>
                                                                  <w:divBdr>
                                                                    <w:top w:val="none" w:sz="0" w:space="0" w:color="auto"/>
                                                                    <w:left w:val="none" w:sz="0" w:space="0" w:color="auto"/>
                                                                    <w:bottom w:val="none" w:sz="0" w:space="0" w:color="auto"/>
                                                                    <w:right w:val="none" w:sz="0" w:space="0" w:color="auto"/>
                                                                  </w:divBdr>
                                                                  <w:divsChild>
                                                                    <w:div w:id="504323792">
                                                                      <w:marLeft w:val="0"/>
                                                                      <w:marRight w:val="0"/>
                                                                      <w:marTop w:val="0"/>
                                                                      <w:marBottom w:val="0"/>
                                                                      <w:divBdr>
                                                                        <w:top w:val="none" w:sz="0" w:space="0" w:color="auto"/>
                                                                        <w:left w:val="none" w:sz="0" w:space="0" w:color="auto"/>
                                                                        <w:bottom w:val="none" w:sz="0" w:space="0" w:color="auto"/>
                                                                        <w:right w:val="none" w:sz="0" w:space="0" w:color="auto"/>
                                                                      </w:divBdr>
                                                                      <w:divsChild>
                                                                        <w:div w:id="2097165440">
                                                                          <w:marLeft w:val="0"/>
                                                                          <w:marRight w:val="0"/>
                                                                          <w:marTop w:val="0"/>
                                                                          <w:marBottom w:val="0"/>
                                                                          <w:divBdr>
                                                                            <w:top w:val="none" w:sz="0" w:space="0" w:color="auto"/>
                                                                            <w:left w:val="none" w:sz="0" w:space="0" w:color="auto"/>
                                                                            <w:bottom w:val="none" w:sz="0" w:space="0" w:color="auto"/>
                                                                            <w:right w:val="none" w:sz="0" w:space="0" w:color="auto"/>
                                                                          </w:divBdr>
                                                                          <w:divsChild>
                                                                            <w:div w:id="1812550475">
                                                                              <w:marLeft w:val="0"/>
                                                                              <w:marRight w:val="0"/>
                                                                              <w:marTop w:val="0"/>
                                                                              <w:marBottom w:val="0"/>
                                                                              <w:divBdr>
                                                                                <w:top w:val="none" w:sz="0" w:space="0" w:color="auto"/>
                                                                                <w:left w:val="none" w:sz="0" w:space="0" w:color="auto"/>
                                                                                <w:bottom w:val="none" w:sz="0" w:space="0" w:color="auto"/>
                                                                                <w:right w:val="none" w:sz="0" w:space="0" w:color="auto"/>
                                                                              </w:divBdr>
                                                                            </w:div>
                                                                            <w:div w:id="1364330193">
                                                                              <w:marLeft w:val="0"/>
                                                                              <w:marRight w:val="0"/>
                                                                              <w:marTop w:val="0"/>
                                                                              <w:marBottom w:val="0"/>
                                                                              <w:divBdr>
                                                                                <w:top w:val="none" w:sz="0" w:space="0" w:color="auto"/>
                                                                                <w:left w:val="none" w:sz="0" w:space="0" w:color="auto"/>
                                                                                <w:bottom w:val="none" w:sz="0" w:space="0" w:color="auto"/>
                                                                                <w:right w:val="none" w:sz="0" w:space="0" w:color="auto"/>
                                                                              </w:divBdr>
                                                                              <w:divsChild>
                                                                                <w:div w:id="306471128">
                                                                                  <w:marLeft w:val="0"/>
                                                                                  <w:marRight w:val="0"/>
                                                                                  <w:marTop w:val="0"/>
                                                                                  <w:marBottom w:val="0"/>
                                                                                  <w:divBdr>
                                                                                    <w:top w:val="none" w:sz="0" w:space="0" w:color="auto"/>
                                                                                    <w:left w:val="none" w:sz="0" w:space="0" w:color="auto"/>
                                                                                    <w:bottom w:val="none" w:sz="0" w:space="0" w:color="auto"/>
                                                                                    <w:right w:val="none" w:sz="0" w:space="0" w:color="auto"/>
                                                                                  </w:divBdr>
                                                                                  <w:divsChild>
                                                                                    <w:div w:id="191068251">
                                                                                      <w:marLeft w:val="0"/>
                                                                                      <w:marRight w:val="0"/>
                                                                                      <w:marTop w:val="0"/>
                                                                                      <w:marBottom w:val="0"/>
                                                                                      <w:divBdr>
                                                                                        <w:top w:val="none" w:sz="0" w:space="0" w:color="auto"/>
                                                                                        <w:left w:val="none" w:sz="0" w:space="0" w:color="auto"/>
                                                                                        <w:bottom w:val="none" w:sz="0" w:space="0" w:color="auto"/>
                                                                                        <w:right w:val="none" w:sz="0" w:space="0" w:color="auto"/>
                                                                                      </w:divBdr>
                                                                                    </w:div>
                                                                                    <w:div w:id="313460036">
                                                                                      <w:marLeft w:val="0"/>
                                                                                      <w:marRight w:val="0"/>
                                                                                      <w:marTop w:val="0"/>
                                                                                      <w:marBottom w:val="0"/>
                                                                                      <w:divBdr>
                                                                                        <w:top w:val="none" w:sz="0" w:space="0" w:color="auto"/>
                                                                                        <w:left w:val="none" w:sz="0" w:space="0" w:color="auto"/>
                                                                                        <w:bottom w:val="none" w:sz="0" w:space="0" w:color="auto"/>
                                                                                        <w:right w:val="none" w:sz="0" w:space="0" w:color="auto"/>
                                                                                      </w:divBdr>
                                                                                      <w:divsChild>
                                                                                        <w:div w:id="1856382576">
                                                                                          <w:marLeft w:val="0"/>
                                                                                          <w:marRight w:val="0"/>
                                                                                          <w:marTop w:val="0"/>
                                                                                          <w:marBottom w:val="0"/>
                                                                                          <w:divBdr>
                                                                                            <w:top w:val="none" w:sz="0" w:space="0" w:color="auto"/>
                                                                                            <w:left w:val="none" w:sz="0" w:space="0" w:color="auto"/>
                                                                                            <w:bottom w:val="none" w:sz="0" w:space="0" w:color="auto"/>
                                                                                            <w:right w:val="none" w:sz="0" w:space="0" w:color="auto"/>
                                                                                          </w:divBdr>
                                                                                        </w:div>
                                                                                        <w:div w:id="527136196">
                                                                                          <w:marLeft w:val="0"/>
                                                                                          <w:marRight w:val="0"/>
                                                                                          <w:marTop w:val="0"/>
                                                                                          <w:marBottom w:val="0"/>
                                                                                          <w:divBdr>
                                                                                            <w:top w:val="none" w:sz="0" w:space="0" w:color="auto"/>
                                                                                            <w:left w:val="none" w:sz="0" w:space="0" w:color="auto"/>
                                                                                            <w:bottom w:val="none" w:sz="0" w:space="0" w:color="auto"/>
                                                                                            <w:right w:val="none" w:sz="0" w:space="0" w:color="auto"/>
                                                                                          </w:divBdr>
                                                                                        </w:div>
                                                                                        <w:div w:id="475729710">
                                                                                          <w:marLeft w:val="0"/>
                                                                                          <w:marRight w:val="0"/>
                                                                                          <w:marTop w:val="0"/>
                                                                                          <w:marBottom w:val="0"/>
                                                                                          <w:divBdr>
                                                                                            <w:top w:val="none" w:sz="0" w:space="0" w:color="auto"/>
                                                                                            <w:left w:val="none" w:sz="0" w:space="0" w:color="auto"/>
                                                                                            <w:bottom w:val="none" w:sz="0" w:space="0" w:color="auto"/>
                                                                                            <w:right w:val="none" w:sz="0" w:space="0" w:color="auto"/>
                                                                                          </w:divBdr>
                                                                                        </w:div>
                                                                                        <w:div w:id="1675061843">
                                                                                          <w:marLeft w:val="0"/>
                                                                                          <w:marRight w:val="0"/>
                                                                                          <w:marTop w:val="0"/>
                                                                                          <w:marBottom w:val="0"/>
                                                                                          <w:divBdr>
                                                                                            <w:top w:val="none" w:sz="0" w:space="0" w:color="auto"/>
                                                                                            <w:left w:val="none" w:sz="0" w:space="0" w:color="auto"/>
                                                                                            <w:bottom w:val="none" w:sz="0" w:space="0" w:color="auto"/>
                                                                                            <w:right w:val="none" w:sz="0" w:space="0" w:color="auto"/>
                                                                                          </w:divBdr>
                                                                                        </w:div>
                                                                                        <w:div w:id="442070181">
                                                                                          <w:marLeft w:val="0"/>
                                                                                          <w:marRight w:val="0"/>
                                                                                          <w:marTop w:val="0"/>
                                                                                          <w:marBottom w:val="0"/>
                                                                                          <w:divBdr>
                                                                                            <w:top w:val="none" w:sz="0" w:space="0" w:color="auto"/>
                                                                                            <w:left w:val="none" w:sz="0" w:space="0" w:color="auto"/>
                                                                                            <w:bottom w:val="none" w:sz="0" w:space="0" w:color="auto"/>
                                                                                            <w:right w:val="none" w:sz="0" w:space="0" w:color="auto"/>
                                                                                          </w:divBdr>
                                                                                        </w:div>
                                                                                        <w:div w:id="195849709">
                                                                                          <w:marLeft w:val="0"/>
                                                                                          <w:marRight w:val="0"/>
                                                                                          <w:marTop w:val="0"/>
                                                                                          <w:marBottom w:val="0"/>
                                                                                          <w:divBdr>
                                                                                            <w:top w:val="none" w:sz="0" w:space="0" w:color="auto"/>
                                                                                            <w:left w:val="none" w:sz="0" w:space="0" w:color="auto"/>
                                                                                            <w:bottom w:val="none" w:sz="0" w:space="0" w:color="auto"/>
                                                                                            <w:right w:val="none" w:sz="0" w:space="0" w:color="auto"/>
                                                                                          </w:divBdr>
                                                                                        </w:div>
                                                                                        <w:div w:id="1376854168">
                                                                                          <w:marLeft w:val="0"/>
                                                                                          <w:marRight w:val="0"/>
                                                                                          <w:marTop w:val="0"/>
                                                                                          <w:marBottom w:val="0"/>
                                                                                          <w:divBdr>
                                                                                            <w:top w:val="none" w:sz="0" w:space="0" w:color="auto"/>
                                                                                            <w:left w:val="none" w:sz="0" w:space="0" w:color="auto"/>
                                                                                            <w:bottom w:val="none" w:sz="0" w:space="0" w:color="auto"/>
                                                                                            <w:right w:val="none" w:sz="0" w:space="0" w:color="auto"/>
                                                                                          </w:divBdr>
                                                                                        </w:div>
                                                                                        <w:div w:id="1946384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6694046">
      <w:bodyDiv w:val="1"/>
      <w:marLeft w:val="0"/>
      <w:marRight w:val="0"/>
      <w:marTop w:val="0"/>
      <w:marBottom w:val="0"/>
      <w:divBdr>
        <w:top w:val="none" w:sz="0" w:space="0" w:color="auto"/>
        <w:left w:val="none" w:sz="0" w:space="0" w:color="auto"/>
        <w:bottom w:val="none" w:sz="0" w:space="0" w:color="auto"/>
        <w:right w:val="none" w:sz="0" w:space="0" w:color="auto"/>
      </w:divBdr>
      <w:divsChild>
        <w:div w:id="2088921018">
          <w:marLeft w:val="0"/>
          <w:marRight w:val="0"/>
          <w:marTop w:val="0"/>
          <w:marBottom w:val="0"/>
          <w:divBdr>
            <w:top w:val="none" w:sz="0" w:space="0" w:color="auto"/>
            <w:left w:val="none" w:sz="0" w:space="0" w:color="auto"/>
            <w:bottom w:val="none" w:sz="0" w:space="0" w:color="auto"/>
            <w:right w:val="none" w:sz="0" w:space="0" w:color="auto"/>
          </w:divBdr>
          <w:divsChild>
            <w:div w:id="46075014">
              <w:marLeft w:val="0"/>
              <w:marRight w:val="0"/>
              <w:marTop w:val="0"/>
              <w:marBottom w:val="0"/>
              <w:divBdr>
                <w:top w:val="none" w:sz="0" w:space="0" w:color="auto"/>
                <w:left w:val="none" w:sz="0" w:space="0" w:color="auto"/>
                <w:bottom w:val="none" w:sz="0" w:space="0" w:color="auto"/>
                <w:right w:val="none" w:sz="0" w:space="0" w:color="auto"/>
              </w:divBdr>
              <w:divsChild>
                <w:div w:id="1839033952">
                  <w:marLeft w:val="0"/>
                  <w:marRight w:val="0"/>
                  <w:marTop w:val="0"/>
                  <w:marBottom w:val="0"/>
                  <w:divBdr>
                    <w:top w:val="none" w:sz="0" w:space="0" w:color="auto"/>
                    <w:left w:val="none" w:sz="0" w:space="0" w:color="auto"/>
                    <w:bottom w:val="none" w:sz="0" w:space="0" w:color="auto"/>
                    <w:right w:val="none" w:sz="0" w:space="0" w:color="auto"/>
                  </w:divBdr>
                  <w:divsChild>
                    <w:div w:id="32929710">
                      <w:marLeft w:val="0"/>
                      <w:marRight w:val="0"/>
                      <w:marTop w:val="0"/>
                      <w:marBottom w:val="0"/>
                      <w:divBdr>
                        <w:top w:val="none" w:sz="0" w:space="0" w:color="auto"/>
                        <w:left w:val="none" w:sz="0" w:space="0" w:color="auto"/>
                        <w:bottom w:val="none" w:sz="0" w:space="0" w:color="auto"/>
                        <w:right w:val="none" w:sz="0" w:space="0" w:color="auto"/>
                      </w:divBdr>
                      <w:divsChild>
                        <w:div w:id="1521965282">
                          <w:marLeft w:val="0"/>
                          <w:marRight w:val="0"/>
                          <w:marTop w:val="0"/>
                          <w:marBottom w:val="0"/>
                          <w:divBdr>
                            <w:top w:val="none" w:sz="0" w:space="0" w:color="auto"/>
                            <w:left w:val="none" w:sz="0" w:space="0" w:color="auto"/>
                            <w:bottom w:val="none" w:sz="0" w:space="0" w:color="auto"/>
                            <w:right w:val="none" w:sz="0" w:space="0" w:color="auto"/>
                          </w:divBdr>
                          <w:divsChild>
                            <w:div w:id="768237614">
                              <w:marLeft w:val="0"/>
                              <w:marRight w:val="0"/>
                              <w:marTop w:val="0"/>
                              <w:marBottom w:val="0"/>
                              <w:divBdr>
                                <w:top w:val="none" w:sz="0" w:space="0" w:color="auto"/>
                                <w:left w:val="none" w:sz="0" w:space="0" w:color="auto"/>
                                <w:bottom w:val="none" w:sz="0" w:space="0" w:color="auto"/>
                                <w:right w:val="none" w:sz="0" w:space="0" w:color="auto"/>
                              </w:divBdr>
                              <w:divsChild>
                                <w:div w:id="2031487802">
                                  <w:marLeft w:val="-225"/>
                                  <w:marRight w:val="-225"/>
                                  <w:marTop w:val="0"/>
                                  <w:marBottom w:val="0"/>
                                  <w:divBdr>
                                    <w:top w:val="none" w:sz="0" w:space="0" w:color="auto"/>
                                    <w:left w:val="none" w:sz="0" w:space="0" w:color="auto"/>
                                    <w:bottom w:val="none" w:sz="0" w:space="0" w:color="auto"/>
                                    <w:right w:val="none" w:sz="0" w:space="0" w:color="auto"/>
                                  </w:divBdr>
                                  <w:divsChild>
                                    <w:div w:id="161698758">
                                      <w:marLeft w:val="0"/>
                                      <w:marRight w:val="0"/>
                                      <w:marTop w:val="0"/>
                                      <w:marBottom w:val="0"/>
                                      <w:divBdr>
                                        <w:top w:val="none" w:sz="0" w:space="0" w:color="auto"/>
                                        <w:left w:val="none" w:sz="0" w:space="0" w:color="auto"/>
                                        <w:bottom w:val="none" w:sz="0" w:space="0" w:color="auto"/>
                                        <w:right w:val="none" w:sz="0" w:space="0" w:color="auto"/>
                                      </w:divBdr>
                                      <w:divsChild>
                                        <w:div w:id="1948266873">
                                          <w:marLeft w:val="0"/>
                                          <w:marRight w:val="0"/>
                                          <w:marTop w:val="0"/>
                                          <w:marBottom w:val="0"/>
                                          <w:divBdr>
                                            <w:top w:val="none" w:sz="0" w:space="0" w:color="auto"/>
                                            <w:left w:val="none" w:sz="0" w:space="0" w:color="auto"/>
                                            <w:bottom w:val="none" w:sz="0" w:space="0" w:color="auto"/>
                                            <w:right w:val="none" w:sz="0" w:space="0" w:color="auto"/>
                                          </w:divBdr>
                                          <w:divsChild>
                                            <w:div w:id="434252409">
                                              <w:marLeft w:val="0"/>
                                              <w:marRight w:val="0"/>
                                              <w:marTop w:val="0"/>
                                              <w:marBottom w:val="0"/>
                                              <w:divBdr>
                                                <w:top w:val="single" w:sz="6" w:space="0" w:color="EEEEEE"/>
                                                <w:left w:val="single" w:sz="6" w:space="0" w:color="EEEEEE"/>
                                                <w:bottom w:val="single" w:sz="6" w:space="0" w:color="EEEEEE"/>
                                                <w:right w:val="single" w:sz="6" w:space="0" w:color="EEEEEE"/>
                                              </w:divBdr>
                                              <w:divsChild>
                                                <w:div w:id="2074084580">
                                                  <w:marLeft w:val="0"/>
                                                  <w:marRight w:val="0"/>
                                                  <w:marTop w:val="0"/>
                                                  <w:marBottom w:val="0"/>
                                                  <w:divBdr>
                                                    <w:top w:val="none" w:sz="0" w:space="0" w:color="auto"/>
                                                    <w:left w:val="none" w:sz="0" w:space="0" w:color="auto"/>
                                                    <w:bottom w:val="none" w:sz="0" w:space="0" w:color="auto"/>
                                                    <w:right w:val="none" w:sz="0" w:space="0" w:color="auto"/>
                                                  </w:divBdr>
                                                  <w:divsChild>
                                                    <w:div w:id="555747415">
                                                      <w:marLeft w:val="0"/>
                                                      <w:marRight w:val="0"/>
                                                      <w:marTop w:val="0"/>
                                                      <w:marBottom w:val="0"/>
                                                      <w:divBdr>
                                                        <w:top w:val="none" w:sz="0" w:space="0" w:color="auto"/>
                                                        <w:left w:val="none" w:sz="0" w:space="0" w:color="auto"/>
                                                        <w:bottom w:val="none" w:sz="0" w:space="0" w:color="auto"/>
                                                        <w:right w:val="none" w:sz="0" w:space="0" w:color="auto"/>
                                                      </w:divBdr>
                                                      <w:divsChild>
                                                        <w:div w:id="429475759">
                                                          <w:marLeft w:val="0"/>
                                                          <w:marRight w:val="0"/>
                                                          <w:marTop w:val="0"/>
                                                          <w:marBottom w:val="0"/>
                                                          <w:divBdr>
                                                            <w:top w:val="none" w:sz="0" w:space="0" w:color="auto"/>
                                                            <w:left w:val="none" w:sz="0" w:space="0" w:color="auto"/>
                                                            <w:bottom w:val="none" w:sz="0" w:space="0" w:color="auto"/>
                                                            <w:right w:val="none" w:sz="0" w:space="0" w:color="auto"/>
                                                          </w:divBdr>
                                                          <w:divsChild>
                                                            <w:div w:id="682242255">
                                                              <w:marLeft w:val="0"/>
                                                              <w:marRight w:val="0"/>
                                                              <w:marTop w:val="0"/>
                                                              <w:marBottom w:val="0"/>
                                                              <w:divBdr>
                                                                <w:top w:val="none" w:sz="0" w:space="0" w:color="auto"/>
                                                                <w:left w:val="none" w:sz="0" w:space="0" w:color="auto"/>
                                                                <w:bottom w:val="none" w:sz="0" w:space="0" w:color="auto"/>
                                                                <w:right w:val="none" w:sz="0" w:space="0" w:color="auto"/>
                                                              </w:divBdr>
                                                              <w:divsChild>
                                                                <w:div w:id="276110809">
                                                                  <w:marLeft w:val="0"/>
                                                                  <w:marRight w:val="0"/>
                                                                  <w:marTop w:val="0"/>
                                                                  <w:marBottom w:val="0"/>
                                                                  <w:divBdr>
                                                                    <w:top w:val="none" w:sz="0" w:space="0" w:color="auto"/>
                                                                    <w:left w:val="none" w:sz="0" w:space="0" w:color="auto"/>
                                                                    <w:bottom w:val="none" w:sz="0" w:space="0" w:color="auto"/>
                                                                    <w:right w:val="none" w:sz="0" w:space="0" w:color="auto"/>
                                                                  </w:divBdr>
                                                                  <w:divsChild>
                                                                    <w:div w:id="1386375369">
                                                                      <w:marLeft w:val="0"/>
                                                                      <w:marRight w:val="0"/>
                                                                      <w:marTop w:val="0"/>
                                                                      <w:marBottom w:val="0"/>
                                                                      <w:divBdr>
                                                                        <w:top w:val="none" w:sz="0" w:space="0" w:color="auto"/>
                                                                        <w:left w:val="none" w:sz="0" w:space="0" w:color="auto"/>
                                                                        <w:bottom w:val="none" w:sz="0" w:space="0" w:color="auto"/>
                                                                        <w:right w:val="none" w:sz="0" w:space="0" w:color="auto"/>
                                                                      </w:divBdr>
                                                                      <w:divsChild>
                                                                        <w:div w:id="1297763012">
                                                                          <w:marLeft w:val="0"/>
                                                                          <w:marRight w:val="0"/>
                                                                          <w:marTop w:val="0"/>
                                                                          <w:marBottom w:val="0"/>
                                                                          <w:divBdr>
                                                                            <w:top w:val="none" w:sz="0" w:space="0" w:color="auto"/>
                                                                            <w:left w:val="none" w:sz="0" w:space="0" w:color="auto"/>
                                                                            <w:bottom w:val="none" w:sz="0" w:space="0" w:color="auto"/>
                                                                            <w:right w:val="none" w:sz="0" w:space="0" w:color="auto"/>
                                                                          </w:divBdr>
                                                                          <w:divsChild>
                                                                            <w:div w:id="417749328">
                                                                              <w:marLeft w:val="0"/>
                                                                              <w:marRight w:val="0"/>
                                                                              <w:marTop w:val="0"/>
                                                                              <w:marBottom w:val="0"/>
                                                                              <w:divBdr>
                                                                                <w:top w:val="none" w:sz="0" w:space="0" w:color="auto"/>
                                                                                <w:left w:val="none" w:sz="0" w:space="0" w:color="auto"/>
                                                                                <w:bottom w:val="none" w:sz="0" w:space="0" w:color="auto"/>
                                                                                <w:right w:val="none" w:sz="0" w:space="0" w:color="auto"/>
                                                                              </w:divBdr>
                                                                            </w:div>
                                                                            <w:div w:id="1655602250">
                                                                              <w:marLeft w:val="0"/>
                                                                              <w:marRight w:val="0"/>
                                                                              <w:marTop w:val="0"/>
                                                                              <w:marBottom w:val="0"/>
                                                                              <w:divBdr>
                                                                                <w:top w:val="none" w:sz="0" w:space="0" w:color="auto"/>
                                                                                <w:left w:val="none" w:sz="0" w:space="0" w:color="auto"/>
                                                                                <w:bottom w:val="none" w:sz="0" w:space="0" w:color="auto"/>
                                                                                <w:right w:val="none" w:sz="0" w:space="0" w:color="auto"/>
                                                                              </w:divBdr>
                                                                              <w:divsChild>
                                                                                <w:div w:id="668295134">
                                                                                  <w:marLeft w:val="0"/>
                                                                                  <w:marRight w:val="0"/>
                                                                                  <w:marTop w:val="0"/>
                                                                                  <w:marBottom w:val="0"/>
                                                                                  <w:divBdr>
                                                                                    <w:top w:val="none" w:sz="0" w:space="0" w:color="auto"/>
                                                                                    <w:left w:val="none" w:sz="0" w:space="0" w:color="auto"/>
                                                                                    <w:bottom w:val="none" w:sz="0" w:space="0" w:color="auto"/>
                                                                                    <w:right w:val="none" w:sz="0" w:space="0" w:color="auto"/>
                                                                                  </w:divBdr>
                                                                                  <w:divsChild>
                                                                                    <w:div w:id="59108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arch.coe.int/cm/Pages/result_details.aspx?Reference=CM/Del/Dec(2012)1157/17" TargetMode="External"/><Relationship Id="rId13" Type="http://schemas.openxmlformats.org/officeDocument/2006/relationships/hyperlink" Target="https://search.coe.int/cm/Pages/result_details.aspx?ObjectID=0900001680739de5" TargetMode="External"/><Relationship Id="rId18" Type="http://schemas.openxmlformats.org/officeDocument/2006/relationships/hyperlink" Target="https://search.coe.int/cm/Pages/result_details.aspx?ObjectID=0900001680739de5" TargetMode="External"/><Relationship Id="rId26" Type="http://schemas.openxmlformats.org/officeDocument/2006/relationships/hyperlink" Target="https://search.coe.int/cm/Pages/result_details.aspx?ObjectID=0900001680739de5" TargetMode="External"/><Relationship Id="rId3" Type="http://schemas.openxmlformats.org/officeDocument/2006/relationships/webSettings" Target="webSettings.xml"/><Relationship Id="rId21" Type="http://schemas.openxmlformats.org/officeDocument/2006/relationships/hyperlink" Target="https://search.coe.int/cm/Pages/result_details.aspx?ObjectID=0900001680739de5" TargetMode="External"/><Relationship Id="rId7" Type="http://schemas.openxmlformats.org/officeDocument/2006/relationships/hyperlink" Target="https://search.coe.int/cm/Pages/result_details.aspx?Reference=DH-DD(2017)761" TargetMode="External"/><Relationship Id="rId12" Type="http://schemas.openxmlformats.org/officeDocument/2006/relationships/hyperlink" Target="https://search.coe.int/cm/Pages/result_details.aspx?ObjectID=0900001680739de5" TargetMode="External"/><Relationship Id="rId17" Type="http://schemas.openxmlformats.org/officeDocument/2006/relationships/hyperlink" Target="https://search.coe.int/cm/Pages/result_details.aspx?ObjectID=0900001680739de5" TargetMode="External"/><Relationship Id="rId25" Type="http://schemas.openxmlformats.org/officeDocument/2006/relationships/hyperlink" Target="https://search.coe.int/cm/Pages/result_details.aspx?ObjectID=0900001680739de5" TargetMode="External"/><Relationship Id="rId2" Type="http://schemas.openxmlformats.org/officeDocument/2006/relationships/settings" Target="settings.xml"/><Relationship Id="rId16" Type="http://schemas.openxmlformats.org/officeDocument/2006/relationships/hyperlink" Target="https://search.coe.int/cm/Pages/result_details.aspx?ObjectID=0900001680739de5" TargetMode="External"/><Relationship Id="rId20" Type="http://schemas.openxmlformats.org/officeDocument/2006/relationships/hyperlink" Target="https://search.coe.int/cm/Pages/result_details.aspx?Reference=CM/ResDH(2016)150" TargetMode="External"/><Relationship Id="rId29" Type="http://schemas.openxmlformats.org/officeDocument/2006/relationships/hyperlink" Target="http://www.avp.ro/" TargetMode="External"/><Relationship Id="rId1" Type="http://schemas.openxmlformats.org/officeDocument/2006/relationships/styles" Target="styles.xml"/><Relationship Id="rId6" Type="http://schemas.openxmlformats.org/officeDocument/2006/relationships/hyperlink" Target="https://search.coe.int/cm/Pages/result_details.aspx?Reference=CM/ResDH(2014)13" TargetMode="External"/><Relationship Id="rId11" Type="http://schemas.openxmlformats.org/officeDocument/2006/relationships/hyperlink" Target="https://search.coe.int/cm/Pages/result_details.aspx?Reference=DH-DD(2017)761" TargetMode="External"/><Relationship Id="rId24" Type="http://schemas.openxmlformats.org/officeDocument/2006/relationships/hyperlink" Target="https://search.coe.int/cm/Pages/result_details.aspx?ObjectID=0900001680739de5" TargetMode="External"/><Relationship Id="rId32" Type="http://schemas.openxmlformats.org/officeDocument/2006/relationships/theme" Target="theme/theme1.xml"/><Relationship Id="rId5" Type="http://schemas.openxmlformats.org/officeDocument/2006/relationships/hyperlink" Target="https://search.coe.int/cm/Pages/result_details.aspx?Reference=DH-DD(2017)761" TargetMode="External"/><Relationship Id="rId15" Type="http://schemas.openxmlformats.org/officeDocument/2006/relationships/hyperlink" Target="https://search.coe.int/cm/Pages/result_details.aspx?ObjectID=0900001680739de5" TargetMode="External"/><Relationship Id="rId23" Type="http://schemas.openxmlformats.org/officeDocument/2006/relationships/hyperlink" Target="https://search.coe.int/cm/Pages/result_details.aspx?ObjectID=0900001680739de5" TargetMode="External"/><Relationship Id="rId28" Type="http://schemas.openxmlformats.org/officeDocument/2006/relationships/hyperlink" Target="https://search.coe.int/cm/Pages/result_details.aspx?ObjectID=0900001680739de5" TargetMode="External"/><Relationship Id="rId10" Type="http://schemas.openxmlformats.org/officeDocument/2006/relationships/hyperlink" Target="https://search.coe.int/cm/Pages/result_details.aspx?Reference=DH-DD(2017)761" TargetMode="External"/><Relationship Id="rId19" Type="http://schemas.openxmlformats.org/officeDocument/2006/relationships/hyperlink" Target="https://search.coe.int/cm/Pages/result_details.aspx?ObjectID=0900001680739de5" TargetMode="External"/><Relationship Id="rId31" Type="http://schemas.openxmlformats.org/officeDocument/2006/relationships/fontTable" Target="fontTable.xml"/><Relationship Id="rId4" Type="http://schemas.openxmlformats.org/officeDocument/2006/relationships/hyperlink" Target="http://www.ier.ro" TargetMode="External"/><Relationship Id="rId9" Type="http://schemas.openxmlformats.org/officeDocument/2006/relationships/hyperlink" Target="https://search.coe.int/cm/Pages/result_details.aspx?ObjectID=0900001680739de5" TargetMode="External"/><Relationship Id="rId14" Type="http://schemas.openxmlformats.org/officeDocument/2006/relationships/hyperlink" Target="https://search.coe.int/cm/Pages/result_details.aspx?Reference=DH-DD(2017)761" TargetMode="External"/><Relationship Id="rId22" Type="http://schemas.openxmlformats.org/officeDocument/2006/relationships/hyperlink" Target="https://search.coe.int/cm/Pages/result_details.aspx?Reference=CM/ResDH(2014)13" TargetMode="External"/><Relationship Id="rId27" Type="http://schemas.openxmlformats.org/officeDocument/2006/relationships/hyperlink" Target="https://search.coe.int/cm/Pages/result_details.aspx?ObjectID=0900001680739de5" TargetMode="External"/><Relationship Id="rId30" Type="http://schemas.openxmlformats.org/officeDocument/2006/relationships/hyperlink" Target="https://search.coe.int/cm/Pages/result_details.aspx?ObjectID=0900001680739de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3660</Words>
  <Characters>21228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Catrinel Brumar</dc:creator>
  <cp:lastModifiedBy>Daniela Radulescu</cp:lastModifiedBy>
  <cp:revision>2</cp:revision>
  <dcterms:created xsi:type="dcterms:W3CDTF">2017-11-21T12:28:00Z</dcterms:created>
  <dcterms:modified xsi:type="dcterms:W3CDTF">2017-12-06T10:51:00Z</dcterms:modified>
</cp:coreProperties>
</file>